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C550E" w14:textId="77777777" w:rsidR="009C5955" w:rsidRDefault="009C5955" w:rsidP="009C5955">
      <w:pPr>
        <w:spacing w:before="120" w:after="240"/>
        <w:rPr>
          <w:rFonts w:ascii="Arial" w:eastAsiaTheme="majorEastAsia" w:hAnsi="Arial" w:cs="Arial"/>
          <w:sz w:val="28"/>
          <w:szCs w:val="28"/>
        </w:rPr>
      </w:pPr>
      <w:r w:rsidRPr="001D1789">
        <w:rPr>
          <w:rFonts w:ascii="Arial" w:eastAsiaTheme="majorEastAsia" w:hAnsi="Arial" w:cs="Arial"/>
          <w:sz w:val="28"/>
          <w:szCs w:val="28"/>
        </w:rPr>
        <w:t>Supplementary File</w:t>
      </w:r>
      <w:r>
        <w:rPr>
          <w:rFonts w:ascii="Arial" w:eastAsiaTheme="majorEastAsia" w:hAnsi="Arial" w:cs="Arial"/>
          <w:sz w:val="28"/>
          <w:szCs w:val="28"/>
        </w:rPr>
        <w:t>s</w:t>
      </w:r>
      <w:r w:rsidRPr="001D1789">
        <w:rPr>
          <w:rFonts w:ascii="Arial" w:eastAsiaTheme="majorEastAsia" w:hAnsi="Arial" w:cs="Arial"/>
          <w:sz w:val="28"/>
          <w:szCs w:val="28"/>
        </w:rPr>
        <w:t xml:space="preserve"> </w:t>
      </w:r>
    </w:p>
    <w:p w14:paraId="46A7EC80" w14:textId="77777777" w:rsidR="009C5955" w:rsidRDefault="009C5955" w:rsidP="009C5955">
      <w:pPr>
        <w:spacing w:before="120" w:after="240"/>
        <w:rPr>
          <w:rFonts w:ascii="Arial" w:hAnsi="Arial" w:cs="Arial"/>
          <w:sz w:val="20"/>
          <w:szCs w:val="20"/>
          <w:lang w:val="en-US"/>
        </w:rPr>
      </w:pPr>
      <w:r>
        <w:rPr>
          <w:noProof/>
        </w:rPr>
        <w:drawing>
          <wp:anchor distT="0" distB="0" distL="114300" distR="114300" simplePos="0" relativeHeight="251659264" behindDoc="0" locked="0" layoutInCell="1" allowOverlap="1" wp14:anchorId="05DEDA80" wp14:editId="51710CC8">
            <wp:simplePos x="0" y="0"/>
            <wp:positionH relativeFrom="margin">
              <wp:align>left</wp:align>
            </wp:positionH>
            <wp:positionV relativeFrom="paragraph">
              <wp:posOffset>401955</wp:posOffset>
            </wp:positionV>
            <wp:extent cx="4048125" cy="6623685"/>
            <wp:effectExtent l="0" t="0" r="0" b="5715"/>
            <wp:wrapTopAndBottom/>
            <wp:docPr id="1098595108" name="Picture 1" descr="A white and blue background with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95108" name="Picture 1" descr="A white and blue background with lines&#10;&#10;AI-generated content may be incorrect."/>
                    <pic:cNvPicPr/>
                  </pic:nvPicPr>
                  <pic:blipFill rotWithShape="1">
                    <a:blip r:embed="rId4">
                      <a:extLst>
                        <a:ext uri="{28A0092B-C50C-407E-A947-70E740481C1C}">
                          <a14:useLocalDpi xmlns:a14="http://schemas.microsoft.com/office/drawing/2010/main" val="0"/>
                        </a:ext>
                      </a:extLst>
                    </a:blip>
                    <a:srcRect r="71932"/>
                    <a:stretch>
                      <a:fillRect/>
                    </a:stretch>
                  </pic:blipFill>
                  <pic:spPr bwMode="auto">
                    <a:xfrm>
                      <a:off x="0" y="0"/>
                      <a:ext cx="4051208" cy="66288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D1789">
        <w:rPr>
          <w:rFonts w:ascii="Arial" w:hAnsi="Arial" w:cs="Arial"/>
          <w:sz w:val="20"/>
          <w:szCs w:val="20"/>
          <w:lang w:val="en-US"/>
        </w:rPr>
        <w:t>Supplementary File</w:t>
      </w:r>
      <w:r>
        <w:rPr>
          <w:rFonts w:ascii="Arial" w:hAnsi="Arial" w:cs="Arial"/>
          <w:sz w:val="20"/>
          <w:szCs w:val="20"/>
          <w:lang w:val="en-US"/>
        </w:rPr>
        <w:t xml:space="preserve"> 1. </w:t>
      </w:r>
    </w:p>
    <w:p w14:paraId="3328D26D" w14:textId="77777777" w:rsidR="009C5955" w:rsidRDefault="009C5955" w:rsidP="009C5955">
      <w:pPr>
        <w:spacing w:before="120" w:after="240"/>
        <w:rPr>
          <w:rFonts w:ascii="Arial" w:hAnsi="Arial" w:cs="Arial"/>
          <w:sz w:val="20"/>
          <w:szCs w:val="20"/>
          <w:lang w:val="en-US"/>
        </w:rPr>
      </w:pPr>
    </w:p>
    <w:p w14:paraId="401D76F7" w14:textId="77777777" w:rsidR="009C5955" w:rsidRPr="00820DDF" w:rsidRDefault="009C5955" w:rsidP="009C5955">
      <w:pPr>
        <w:spacing w:before="120" w:after="240"/>
        <w:rPr>
          <w:rFonts w:ascii="Arial" w:hAnsi="Arial" w:cs="Arial"/>
          <w:i/>
          <w:iCs/>
          <w:sz w:val="20"/>
          <w:szCs w:val="20"/>
          <w:lang w:val="en-US"/>
        </w:rPr>
      </w:pPr>
      <w:r w:rsidRPr="00820DDF">
        <w:rPr>
          <w:rFonts w:ascii="Arial" w:hAnsi="Arial" w:cs="Arial"/>
          <w:i/>
          <w:iCs/>
          <w:sz w:val="20"/>
          <w:szCs w:val="20"/>
          <w:lang w:val="en-US"/>
        </w:rPr>
        <w:t xml:space="preserve">Figure </w:t>
      </w:r>
      <w:r>
        <w:rPr>
          <w:rFonts w:ascii="Arial" w:hAnsi="Arial" w:cs="Arial"/>
          <w:i/>
          <w:iCs/>
          <w:sz w:val="20"/>
          <w:szCs w:val="20"/>
          <w:lang w:val="en-US"/>
        </w:rPr>
        <w:t>S</w:t>
      </w:r>
      <w:r w:rsidRPr="00820DDF">
        <w:rPr>
          <w:rFonts w:ascii="Arial" w:hAnsi="Arial" w:cs="Arial"/>
          <w:i/>
          <w:iCs/>
          <w:sz w:val="20"/>
          <w:szCs w:val="20"/>
          <w:lang w:val="en-US"/>
        </w:rPr>
        <w:t>1. Medline search strategy</w:t>
      </w:r>
    </w:p>
    <w:p w14:paraId="4569B3A1" w14:textId="77777777" w:rsidR="009C5955" w:rsidRDefault="009C5955" w:rsidP="009C5955">
      <w:pPr>
        <w:spacing w:after="160" w:line="259" w:lineRule="auto"/>
        <w:rPr>
          <w:rFonts w:ascii="Arial" w:hAnsi="Arial" w:cs="Arial"/>
          <w:sz w:val="20"/>
          <w:szCs w:val="20"/>
          <w:lang w:val="en-US"/>
        </w:rPr>
      </w:pPr>
      <w:r>
        <w:rPr>
          <w:rFonts w:ascii="Arial" w:hAnsi="Arial" w:cs="Arial"/>
          <w:sz w:val="20"/>
          <w:szCs w:val="20"/>
          <w:lang w:val="en-US"/>
        </w:rPr>
        <w:br w:type="page"/>
      </w:r>
    </w:p>
    <w:p w14:paraId="031CEF6C" w14:textId="77777777" w:rsidR="009C5955" w:rsidRDefault="009C5955" w:rsidP="009C5955">
      <w:pPr>
        <w:spacing w:before="120" w:after="240"/>
        <w:rPr>
          <w:rFonts w:ascii="Arial" w:hAnsi="Arial" w:cs="Arial"/>
          <w:sz w:val="20"/>
          <w:szCs w:val="20"/>
          <w:lang w:val="en-US"/>
        </w:rPr>
      </w:pPr>
      <w:r>
        <w:rPr>
          <w:rFonts w:ascii="Arial" w:hAnsi="Arial" w:cs="Arial"/>
          <w:sz w:val="20"/>
          <w:szCs w:val="20"/>
          <w:lang w:val="en-US"/>
        </w:rPr>
        <w:lastRenderedPageBreak/>
        <w:t xml:space="preserve">Supplementary File 2. </w:t>
      </w:r>
    </w:p>
    <w:p w14:paraId="0819C41A" w14:textId="77777777" w:rsidR="009C5955" w:rsidRPr="00427084" w:rsidRDefault="009C5955" w:rsidP="009C5955">
      <w:pPr>
        <w:pStyle w:val="Bibliography"/>
        <w:rPr>
          <w:rFonts w:ascii="Arial" w:hAnsi="Arial" w:cs="Arial"/>
          <w:sz w:val="20"/>
          <w:szCs w:val="20"/>
        </w:rPr>
      </w:pPr>
      <w:r w:rsidRPr="000636C5">
        <w:rPr>
          <w:rFonts w:ascii="Arial" w:hAnsi="Arial" w:cs="Arial"/>
          <w:sz w:val="20"/>
          <w:szCs w:val="20"/>
        </w:rPr>
        <w:t xml:space="preserve">Table </w:t>
      </w:r>
      <w:r>
        <w:rPr>
          <w:rFonts w:ascii="Arial" w:hAnsi="Arial" w:cs="Arial"/>
          <w:sz w:val="20"/>
          <w:szCs w:val="20"/>
        </w:rPr>
        <w:t>S</w:t>
      </w:r>
      <w:r w:rsidRPr="000636C5">
        <w:rPr>
          <w:rFonts w:ascii="Arial" w:hAnsi="Arial" w:cs="Arial"/>
          <w:sz w:val="20"/>
          <w:szCs w:val="20"/>
        </w:rPr>
        <w:t xml:space="preserve">1. </w:t>
      </w:r>
      <w:r w:rsidRPr="004B2332">
        <w:rPr>
          <w:rFonts w:ascii="Arial" w:hAnsi="Arial" w:cs="Arial"/>
          <w:sz w:val="20"/>
          <w:szCs w:val="20"/>
        </w:rPr>
        <w:t xml:space="preserve">Study design according to TIDieR items </w:t>
      </w:r>
    </w:p>
    <w:tbl>
      <w:tblPr>
        <w:tblStyle w:val="GridTable1Light"/>
        <w:tblW w:w="0" w:type="auto"/>
        <w:tblLook w:val="0020" w:firstRow="1" w:lastRow="0" w:firstColumn="0" w:lastColumn="0" w:noHBand="0" w:noVBand="0"/>
      </w:tblPr>
      <w:tblGrid>
        <w:gridCol w:w="1423"/>
        <w:gridCol w:w="2531"/>
        <w:gridCol w:w="2531"/>
        <w:gridCol w:w="2531"/>
      </w:tblGrid>
      <w:tr w:rsidR="009C5955" w:rsidRPr="00423A86" w14:paraId="3DC1580D" w14:textId="77777777" w:rsidTr="00182AD2">
        <w:trPr>
          <w:cnfStyle w:val="100000000000" w:firstRow="1" w:lastRow="0" w:firstColumn="0" w:lastColumn="0" w:oddVBand="0" w:evenVBand="0" w:oddHBand="0" w:evenHBand="0" w:firstRowFirstColumn="0" w:firstRowLastColumn="0" w:lastRowFirstColumn="0" w:lastRowLastColumn="0"/>
        </w:trPr>
        <w:tc>
          <w:tcPr>
            <w:tcW w:w="0" w:type="auto"/>
          </w:tcPr>
          <w:p w14:paraId="5F84BFF6"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sz w:val="18"/>
                <w:szCs w:val="18"/>
              </w:rPr>
              <w:t>TIDieR Item</w:t>
            </w:r>
          </w:p>
        </w:tc>
        <w:tc>
          <w:tcPr>
            <w:tcW w:w="0" w:type="auto"/>
          </w:tcPr>
          <w:p w14:paraId="02C518C7"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sz w:val="18"/>
                <w:szCs w:val="18"/>
              </w:rPr>
              <w:t xml:space="preserve">Caplan </w:t>
            </w:r>
            <w:r w:rsidRPr="009F156B">
              <w:rPr>
                <w:rFonts w:ascii="Arial" w:hAnsi="Arial" w:cs="Arial"/>
                <w:i/>
                <w:iCs/>
                <w:sz w:val="20"/>
                <w:szCs w:val="20"/>
              </w:rPr>
              <w:t>et al.</w:t>
            </w:r>
            <w:r w:rsidRPr="002D7B44">
              <w:rPr>
                <w:rFonts w:ascii="Arial" w:hAnsi="Arial" w:cs="Arial"/>
                <w:sz w:val="20"/>
                <w:szCs w:val="20"/>
              </w:rPr>
              <w:t xml:space="preserve"> </w:t>
            </w:r>
            <w:r w:rsidRPr="003E3F69">
              <w:rPr>
                <w:rFonts w:ascii="Arial" w:hAnsi="Arial" w:cs="Arial"/>
                <w:sz w:val="18"/>
                <w:szCs w:val="18"/>
              </w:rPr>
              <w:t xml:space="preserve">(2006, Australia) </w:t>
            </w:r>
            <w:r>
              <w:rPr>
                <w:rFonts w:ascii="Arial" w:hAnsi="Arial" w:cs="Arial"/>
                <w:sz w:val="18"/>
                <w:szCs w:val="18"/>
              </w:rPr>
              <w:fldChar w:fldCharType="begin"/>
            </w:r>
            <w:r>
              <w:rPr>
                <w:rFonts w:ascii="Arial" w:hAnsi="Arial" w:cs="Arial"/>
                <w:sz w:val="18"/>
                <w:szCs w:val="18"/>
              </w:rPr>
              <w:instrText xml:space="preserve"> ADDIN EN.CITE &lt;EndNote&gt;&lt;Cite&gt;&lt;Author&gt;Caplan&lt;/Author&gt;&lt;Year&gt;2006&lt;/Year&gt;&lt;RecNum&gt;29&lt;/RecNum&gt;&lt;DisplayText&gt;(26)&lt;/DisplayText&gt;&lt;record&gt;&lt;rec-number&gt;29&lt;/rec-number&gt;&lt;foreign-keys&gt;&lt;key app="EN" db-id="zfpp05wxua9d5hew90tvera69petstw25awz" timestamp="1754965908"&gt;29&lt;/key&gt;&lt;/foreign-keys&gt;&lt;ref-type name="Journal Article"&gt;17&lt;/ref-type&gt;&lt;contributors&gt;&lt;authors&gt;&lt;author&gt;Caplan, G. A.&lt;/author&gt;&lt;author&gt;Coconis, J.&lt;/author&gt;&lt;author&gt;Board, N.&lt;/author&gt;&lt;author&gt;Sayers, A.&lt;/author&gt;&lt;author&gt;Woods, J.&lt;/author&gt;&lt;/authors&gt;&lt;/contributors&gt;&lt;auth-address&gt;Post Acute Care Services, Prince of Wales Hospital, Randwick, Sydney, New South Wales 2031, Australia. g.caplan@unsw.edu.au&lt;/auth-address&gt;&lt;titles&gt;&lt;title&gt;Does home treatment affect delirium? A randomised controlled trial of rehabilitation of elderly and care at home or usual treatment (The REACH-OUT trial)&lt;/title&gt;&lt;secondary-title&gt;Age Ageing&lt;/secondary-title&gt;&lt;/titles&gt;&lt;periodical&gt;&lt;full-title&gt;Age Ageing&lt;/full-title&gt;&lt;/periodical&gt;&lt;pages&gt;53-60&lt;/pages&gt;&lt;volume&gt;35&lt;/volume&gt;&lt;number&gt;1&lt;/number&gt;&lt;edition&gt;20051020&lt;/edition&gt;&lt;keywords&gt;&lt;keyword&gt;Aged&lt;/keyword&gt;&lt;keyword&gt;Delirium/etiology/*rehabilitation&lt;/keyword&gt;&lt;keyword&gt;Female&lt;/keyword&gt;&lt;keyword&gt;Follow-Up Studies&lt;/keyword&gt;&lt;keyword&gt;Health Status&lt;/keyword&gt;&lt;keyword&gt;*Home Care Services&lt;/keyword&gt;&lt;keyword&gt;*Hospitalization&lt;/keyword&gt;&lt;keyword&gt;Humans&lt;/keyword&gt;&lt;keyword&gt;Male&lt;/keyword&gt;&lt;keyword&gt;Patient Satisfaction&lt;/keyword&gt;&lt;keyword&gt;Psychiatric Status Rating Scales&lt;/keyword&gt;&lt;keyword&gt;Retrospective Studies&lt;/keyword&gt;&lt;keyword&gt;Surveys and Questionnaires&lt;/keyword&gt;&lt;keyword&gt;Treatment Outcome&lt;/keyword&gt;&lt;/keywords&gt;&lt;dates&gt;&lt;year&gt;2006&lt;/year&gt;&lt;pub-dates&gt;&lt;date&gt;Jan&lt;/date&gt;&lt;/pub-dates&gt;&lt;/dates&gt;&lt;isbn&gt;0002-0729 (Print)&amp;#xD;0002-0729&lt;/isbn&gt;&lt;accession-num&gt;16239239&lt;/accession-num&gt;&lt;urls&gt;&lt;/urls&gt;&lt;electronic-resource-num&gt;10.1093/ageing/afi206&lt;/electronic-resource-num&gt;&lt;remote-database-provider&gt;NLM&lt;/remote-database-provider&gt;&lt;language&gt;eng&lt;/language&gt;&lt;/record&gt;&lt;/Cite&gt;&lt;/EndNote&gt;</w:instrText>
            </w:r>
            <w:r>
              <w:rPr>
                <w:rFonts w:ascii="Arial" w:hAnsi="Arial" w:cs="Arial"/>
                <w:sz w:val="18"/>
                <w:szCs w:val="18"/>
              </w:rPr>
              <w:fldChar w:fldCharType="separate"/>
            </w:r>
            <w:r>
              <w:rPr>
                <w:rFonts w:ascii="Arial" w:hAnsi="Arial" w:cs="Arial"/>
                <w:noProof/>
                <w:sz w:val="18"/>
                <w:szCs w:val="18"/>
              </w:rPr>
              <w:t>(26)</w:t>
            </w:r>
            <w:r>
              <w:rPr>
                <w:rFonts w:ascii="Arial" w:hAnsi="Arial" w:cs="Arial"/>
                <w:sz w:val="18"/>
                <w:szCs w:val="18"/>
              </w:rPr>
              <w:fldChar w:fldCharType="end"/>
            </w:r>
          </w:p>
        </w:tc>
        <w:tc>
          <w:tcPr>
            <w:tcW w:w="0" w:type="auto"/>
          </w:tcPr>
          <w:p w14:paraId="5E543B5F"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sz w:val="18"/>
                <w:szCs w:val="18"/>
              </w:rPr>
              <w:t xml:space="preserve">Isaia </w:t>
            </w:r>
            <w:r w:rsidRPr="009F156B">
              <w:rPr>
                <w:rFonts w:ascii="Arial" w:hAnsi="Arial" w:cs="Arial"/>
                <w:i/>
                <w:iCs/>
                <w:sz w:val="20"/>
                <w:szCs w:val="20"/>
              </w:rPr>
              <w:t>et al.</w:t>
            </w:r>
            <w:r w:rsidRPr="002D7B44">
              <w:rPr>
                <w:rFonts w:ascii="Arial" w:hAnsi="Arial" w:cs="Arial"/>
                <w:sz w:val="20"/>
                <w:szCs w:val="20"/>
              </w:rPr>
              <w:t xml:space="preserve"> </w:t>
            </w:r>
            <w:r w:rsidRPr="003E3F69">
              <w:rPr>
                <w:rFonts w:ascii="Arial" w:hAnsi="Arial" w:cs="Arial"/>
                <w:sz w:val="18"/>
                <w:szCs w:val="18"/>
              </w:rPr>
              <w:t xml:space="preserve">(2009, Italy) </w:t>
            </w:r>
            <w:r>
              <w:rPr>
                <w:rFonts w:ascii="Arial" w:hAnsi="Arial" w:cs="Arial"/>
                <w:sz w:val="18"/>
                <w:szCs w:val="18"/>
              </w:rPr>
              <w:fldChar w:fldCharType="begin"/>
            </w:r>
            <w:r>
              <w:rPr>
                <w:rFonts w:ascii="Arial" w:hAnsi="Arial" w:cs="Arial"/>
                <w:sz w:val="18"/>
                <w:szCs w:val="18"/>
              </w:rPr>
              <w:instrText xml:space="preserve"> ADDIN EN.CITE &lt;EndNote&gt;&lt;Cite&gt;&lt;Author&gt;Isaia&lt;/Author&gt;&lt;Year&gt;2009&lt;/Year&gt;&lt;RecNum&gt;28&lt;/RecNum&gt;&lt;DisplayText&gt;(27)&lt;/DisplayText&gt;&lt;record&gt;&lt;rec-number&gt;28&lt;/rec-number&gt;&lt;foreign-keys&gt;&lt;key app="EN" db-id="zfpp05wxua9d5hew90tvera69petstw25awz" timestamp="1754965885"&gt;28&lt;/key&gt;&lt;/foreign-keys&gt;&lt;ref-type name="Journal Article"&gt;17&lt;/ref-type&gt;&lt;contributors&gt;&lt;authors&gt;&lt;author&gt;Isaia, G.&lt;/author&gt;&lt;author&gt;Astengo, M. A.&lt;/author&gt;&lt;author&gt;Tibaldi, V.&lt;/author&gt;&lt;author&gt;Zanocchi, M.&lt;/author&gt;&lt;author&gt;Bardelli, B.&lt;/author&gt;&lt;author&gt;Obialero, R.&lt;/author&gt;&lt;author&gt;Tizzani, A.&lt;/author&gt;&lt;author&gt;Bo, M.&lt;/author&gt;&lt;author&gt;Moiraghi, C.&lt;/author&gt;&lt;author&gt;Molaschi, M.&lt;/author&gt;&lt;author&gt;Ricauda, N. A.&lt;/author&gt;&lt;/authors&gt;&lt;/contributors&gt;&lt;auth-address&gt;Department of Medical and Surgical Disciplines, Geriatric Section, San Giovanni Battista Hospital, University of Torino, Corso Bramante 88, 10126, Torino, Italy. gianlucaisaia@yahoo.it&lt;/auth-address&gt;&lt;titles&gt;&lt;title&gt;Delirium in elderly home-treated patients: a prospective study with 6-month follow-up&lt;/title&gt;&lt;secondary-title&gt;Age (Dordr)&lt;/secondary-title&gt;&lt;/titles&gt;&lt;periodical&gt;&lt;full-title&gt;Age (Dordr)&lt;/full-title&gt;&lt;/periodical&gt;&lt;pages&gt;109-17&lt;/pages&gt;&lt;volume&gt;31&lt;/volume&gt;&lt;number&gt;2&lt;/number&gt;&lt;edition&gt;20090130&lt;/edition&gt;&lt;dates&gt;&lt;year&gt;2009&lt;/year&gt;&lt;pub-dates&gt;&lt;date&gt;Jun&lt;/date&gt;&lt;/pub-dates&gt;&lt;/dates&gt;&lt;isbn&gt;0161-9152 (Print)&amp;#xD;0161-9152&lt;/isbn&gt;&lt;accession-num&gt;19507055&lt;/accession-num&gt;&lt;urls&gt;&lt;/urls&gt;&lt;custom2&gt;PMC2693729&lt;/custom2&gt;&lt;electronic-resource-num&gt;10.1007/s11357-009-9086-3&lt;/electronic-resource-num&gt;&lt;remote-database-provider&gt;NLM&lt;/remote-database-provider&gt;&lt;language&gt;eng&lt;/language&gt;&lt;/record&gt;&lt;/Cite&gt;&lt;/EndNote&gt;</w:instrText>
            </w:r>
            <w:r>
              <w:rPr>
                <w:rFonts w:ascii="Arial" w:hAnsi="Arial" w:cs="Arial"/>
                <w:sz w:val="18"/>
                <w:szCs w:val="18"/>
              </w:rPr>
              <w:fldChar w:fldCharType="separate"/>
            </w:r>
            <w:r>
              <w:rPr>
                <w:rFonts w:ascii="Arial" w:hAnsi="Arial" w:cs="Arial"/>
                <w:noProof/>
                <w:sz w:val="18"/>
                <w:szCs w:val="18"/>
              </w:rPr>
              <w:t>(27)</w:t>
            </w:r>
            <w:r>
              <w:rPr>
                <w:rFonts w:ascii="Arial" w:hAnsi="Arial" w:cs="Arial"/>
                <w:sz w:val="18"/>
                <w:szCs w:val="18"/>
              </w:rPr>
              <w:fldChar w:fldCharType="end"/>
            </w:r>
          </w:p>
        </w:tc>
        <w:tc>
          <w:tcPr>
            <w:tcW w:w="0" w:type="auto"/>
          </w:tcPr>
          <w:p w14:paraId="60768461" w14:textId="77777777" w:rsidR="009C5955" w:rsidRPr="003E3F69" w:rsidRDefault="009C5955" w:rsidP="00182AD2">
            <w:pPr>
              <w:pStyle w:val="Bibliography"/>
              <w:spacing w:after="120"/>
              <w:rPr>
                <w:rFonts w:ascii="Arial" w:hAnsi="Arial" w:cs="Arial"/>
                <w:sz w:val="18"/>
                <w:szCs w:val="18"/>
              </w:rPr>
            </w:pPr>
            <w:proofErr w:type="spellStart"/>
            <w:r w:rsidRPr="003E3F69">
              <w:rPr>
                <w:rFonts w:ascii="Arial" w:hAnsi="Arial" w:cs="Arial"/>
                <w:sz w:val="18"/>
                <w:szCs w:val="18"/>
              </w:rPr>
              <w:t>Verloo</w:t>
            </w:r>
            <w:proofErr w:type="spellEnd"/>
            <w:r w:rsidRPr="003E3F69">
              <w:rPr>
                <w:rFonts w:ascii="Arial" w:hAnsi="Arial" w:cs="Arial"/>
                <w:sz w:val="18"/>
                <w:szCs w:val="18"/>
              </w:rPr>
              <w:t xml:space="preserve"> </w:t>
            </w:r>
            <w:r w:rsidRPr="009F156B">
              <w:rPr>
                <w:rFonts w:ascii="Arial" w:hAnsi="Arial" w:cs="Arial"/>
                <w:i/>
                <w:iCs/>
                <w:sz w:val="20"/>
                <w:szCs w:val="20"/>
              </w:rPr>
              <w:t>et al.</w:t>
            </w:r>
            <w:r w:rsidRPr="002D7B44">
              <w:rPr>
                <w:rFonts w:ascii="Arial" w:hAnsi="Arial" w:cs="Arial"/>
                <w:sz w:val="20"/>
                <w:szCs w:val="20"/>
              </w:rPr>
              <w:t xml:space="preserve"> </w:t>
            </w:r>
            <w:r w:rsidRPr="003E3F69">
              <w:rPr>
                <w:rFonts w:ascii="Arial" w:hAnsi="Arial" w:cs="Arial"/>
                <w:sz w:val="18"/>
                <w:szCs w:val="18"/>
              </w:rPr>
              <w:t xml:space="preserve">(2015 &amp; 2016, Switzerland) </w:t>
            </w:r>
            <w:r>
              <w:rPr>
                <w:rFonts w:ascii="Arial" w:hAnsi="Arial" w:cs="Arial"/>
                <w:sz w:val="18"/>
                <w:szCs w:val="18"/>
              </w:rPr>
              <w:fldChar w:fldCharType="begin">
                <w:fldData xml:space="preserve">PEVuZE5vdGU+PENpdGU+PEF1dGhvcj5WZXJsb288L0F1dGhvcj48WWVhcj4yMDE1PC9ZZWFyPjxS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=
</w:fldData>
              </w:fldChar>
            </w:r>
            <w:r>
              <w:rPr>
                <w:rFonts w:ascii="Arial" w:hAnsi="Arial" w:cs="Arial"/>
                <w:sz w:val="18"/>
                <w:szCs w:val="18"/>
              </w:rPr>
              <w:instrText xml:space="preserve"> ADDIN EN.CITE </w:instrText>
            </w:r>
            <w:r>
              <w:rPr>
                <w:rFonts w:ascii="Arial" w:hAnsi="Arial" w:cs="Arial"/>
                <w:sz w:val="18"/>
                <w:szCs w:val="18"/>
              </w:rPr>
              <w:fldChar w:fldCharType="begin">
                <w:fldData xml:space="preserve">PEVuZE5vdGU+PENpdGU+PEF1dGhvcj5WZXJsb288L0F1dGhvcj48WWVhcj4yMDE1PC9ZZWFyPjxS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=
</w:fldData>
              </w:fldChar>
            </w:r>
            <w:r>
              <w:rPr>
                <w:rFonts w:ascii="Arial" w:hAnsi="Arial" w:cs="Arial"/>
                <w:sz w:val="18"/>
                <w:szCs w:val="18"/>
              </w:rPr>
              <w:instrText xml:space="preserve"> ADDIN EN.CITE.DATA </w:instrText>
            </w:r>
            <w:r>
              <w:rPr>
                <w:rFonts w:ascii="Arial" w:hAnsi="Arial" w:cs="Arial"/>
                <w:sz w:val="18"/>
                <w:szCs w:val="18"/>
              </w:rPr>
            </w:r>
            <w:r>
              <w:rPr>
                <w:rFonts w:ascii="Arial" w:hAnsi="Arial" w:cs="Arial"/>
                <w:sz w:val="18"/>
                <w:szCs w:val="18"/>
              </w:rPr>
              <w:fldChar w:fldCharType="end"/>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(24, 25)</w:t>
            </w:r>
            <w:r>
              <w:rPr>
                <w:rFonts w:ascii="Arial" w:hAnsi="Arial" w:cs="Arial"/>
                <w:sz w:val="18"/>
                <w:szCs w:val="18"/>
              </w:rPr>
              <w:fldChar w:fldCharType="end"/>
            </w:r>
          </w:p>
        </w:tc>
      </w:tr>
      <w:tr w:rsidR="009C5955" w:rsidRPr="00423A86" w14:paraId="7615A84D" w14:textId="77777777" w:rsidTr="00182AD2">
        <w:tc>
          <w:tcPr>
            <w:tcW w:w="0" w:type="auto"/>
          </w:tcPr>
          <w:p w14:paraId="3D5BCA42"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b/>
                <w:bCs/>
                <w:sz w:val="18"/>
                <w:szCs w:val="18"/>
              </w:rPr>
              <w:t>1. Intervention Name</w:t>
            </w:r>
          </w:p>
        </w:tc>
        <w:tc>
          <w:tcPr>
            <w:tcW w:w="0" w:type="auto"/>
          </w:tcPr>
          <w:p w14:paraId="056B1029"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i/>
                <w:iCs/>
                <w:sz w:val="18"/>
                <w:szCs w:val="18"/>
              </w:rPr>
              <w:t>The REACH-OUT Trial</w:t>
            </w:r>
            <w:r w:rsidRPr="003E3F69">
              <w:rPr>
                <w:rFonts w:ascii="Arial" w:hAnsi="Arial" w:cs="Arial"/>
                <w:sz w:val="18"/>
                <w:szCs w:val="18"/>
              </w:rPr>
              <w:t>: Hospital in the Home (</w:t>
            </w:r>
            <w:proofErr w:type="spellStart"/>
            <w:r w:rsidRPr="003E3F69">
              <w:rPr>
                <w:rFonts w:ascii="Arial" w:hAnsi="Arial" w:cs="Arial"/>
                <w:sz w:val="18"/>
                <w:szCs w:val="18"/>
              </w:rPr>
              <w:t>HitH</w:t>
            </w:r>
            <w:proofErr w:type="spellEnd"/>
            <w:r w:rsidRPr="003E3F69">
              <w:rPr>
                <w:rFonts w:ascii="Arial" w:hAnsi="Arial" w:cs="Arial"/>
                <w:sz w:val="18"/>
                <w:szCs w:val="18"/>
              </w:rPr>
              <w:t>) – a post-acute rehabilitation model providing early discharge with home-based multidisciplinary care.</w:t>
            </w:r>
          </w:p>
        </w:tc>
        <w:tc>
          <w:tcPr>
            <w:tcW w:w="0" w:type="auto"/>
          </w:tcPr>
          <w:p w14:paraId="7757A1A0"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i/>
                <w:iCs/>
                <w:sz w:val="18"/>
                <w:szCs w:val="18"/>
              </w:rPr>
              <w:t xml:space="preserve">Geriatric Home </w:t>
            </w:r>
            <w:proofErr w:type="spellStart"/>
            <w:r w:rsidRPr="003E3F69">
              <w:rPr>
                <w:rFonts w:ascii="Arial" w:hAnsi="Arial" w:cs="Arial"/>
                <w:i/>
                <w:iCs/>
                <w:sz w:val="18"/>
                <w:szCs w:val="18"/>
              </w:rPr>
              <w:t>Hospitalisation</w:t>
            </w:r>
            <w:proofErr w:type="spellEnd"/>
            <w:r w:rsidRPr="003E3F69">
              <w:rPr>
                <w:rFonts w:ascii="Arial" w:hAnsi="Arial" w:cs="Arial"/>
                <w:i/>
                <w:iCs/>
                <w:sz w:val="18"/>
                <w:szCs w:val="18"/>
              </w:rPr>
              <w:t xml:space="preserve"> Service (GHHS)</w:t>
            </w:r>
            <w:r w:rsidRPr="003E3F69">
              <w:rPr>
                <w:rFonts w:ascii="Arial" w:hAnsi="Arial" w:cs="Arial"/>
                <w:sz w:val="18"/>
                <w:szCs w:val="18"/>
              </w:rPr>
              <w:t xml:space="preserve"> – a “hospital-at-home” care model offering early discharge with substitutive geriatric and multidisciplinary care at home.</w:t>
            </w:r>
          </w:p>
        </w:tc>
        <w:tc>
          <w:tcPr>
            <w:tcW w:w="0" w:type="auto"/>
          </w:tcPr>
          <w:p w14:paraId="77E061D2"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i/>
                <w:iCs/>
                <w:sz w:val="18"/>
                <w:szCs w:val="18"/>
              </w:rPr>
              <w:t>Patient-</w:t>
            </w:r>
            <w:proofErr w:type="spellStart"/>
            <w:r w:rsidRPr="003E3F69">
              <w:rPr>
                <w:rFonts w:ascii="Arial" w:hAnsi="Arial" w:cs="Arial"/>
                <w:i/>
                <w:iCs/>
                <w:sz w:val="18"/>
                <w:szCs w:val="18"/>
              </w:rPr>
              <w:t>centred</w:t>
            </w:r>
            <w:proofErr w:type="spellEnd"/>
            <w:r w:rsidRPr="003E3F69">
              <w:rPr>
                <w:rFonts w:ascii="Arial" w:hAnsi="Arial" w:cs="Arial"/>
                <w:i/>
                <w:iCs/>
                <w:sz w:val="18"/>
                <w:szCs w:val="18"/>
              </w:rPr>
              <w:t>, nurse-led delirium detection and prevention intervention</w:t>
            </w:r>
            <w:r w:rsidRPr="003E3F69">
              <w:rPr>
                <w:rFonts w:ascii="Arial" w:hAnsi="Arial" w:cs="Arial"/>
                <w:sz w:val="18"/>
                <w:szCs w:val="18"/>
              </w:rPr>
              <w:t xml:space="preserve"> </w:t>
            </w:r>
            <w:r w:rsidRPr="003E3F69">
              <w:rPr>
                <w:rFonts w:ascii="Arial" w:hAnsi="Arial" w:cs="Arial"/>
                <w:i/>
                <w:iCs/>
                <w:sz w:val="18"/>
                <w:szCs w:val="18"/>
              </w:rPr>
              <w:t>(the nurse-led intervention)</w:t>
            </w:r>
            <w:r w:rsidRPr="003E3F69">
              <w:rPr>
                <w:rFonts w:ascii="Arial" w:hAnsi="Arial" w:cs="Arial"/>
                <w:sz w:val="18"/>
                <w:szCs w:val="18"/>
              </w:rPr>
              <w:t xml:space="preserve"> – a structured, home-based delirium prevention nursing program following hospital discharge.</w:t>
            </w:r>
          </w:p>
        </w:tc>
      </w:tr>
      <w:tr w:rsidR="009C5955" w:rsidRPr="00423A86" w14:paraId="3E00AAB1" w14:textId="77777777" w:rsidTr="00182AD2">
        <w:tc>
          <w:tcPr>
            <w:tcW w:w="0" w:type="auto"/>
          </w:tcPr>
          <w:p w14:paraId="37E68B48" w14:textId="77777777" w:rsidR="009C5955" w:rsidRPr="003E3F69" w:rsidRDefault="009C5955" w:rsidP="00182AD2">
            <w:pPr>
              <w:pStyle w:val="Bibliography"/>
              <w:spacing w:after="120"/>
              <w:rPr>
                <w:rFonts w:ascii="Arial" w:hAnsi="Arial" w:cs="Arial"/>
                <w:sz w:val="18"/>
                <w:szCs w:val="18"/>
              </w:rPr>
            </w:pPr>
            <w:r w:rsidRPr="003E3F69">
              <w:rPr>
                <w:rFonts w:ascii="Arial" w:hAnsi="Arial" w:cs="Arial"/>
                <w:b/>
                <w:bCs/>
                <w:sz w:val="18"/>
                <w:szCs w:val="18"/>
              </w:rPr>
              <w:t>2. Why (Rationale)</w:t>
            </w:r>
          </w:p>
        </w:tc>
        <w:tc>
          <w:tcPr>
            <w:tcW w:w="0" w:type="auto"/>
          </w:tcPr>
          <w:p w14:paraId="227A25FF" w14:textId="77777777" w:rsidR="009C5955" w:rsidRPr="003E3F69" w:rsidRDefault="009C5955" w:rsidP="00182AD2">
            <w:pPr>
              <w:pStyle w:val="Bibliography"/>
              <w:spacing w:after="120"/>
              <w:rPr>
                <w:rFonts w:ascii="Arial" w:hAnsi="Arial" w:cs="Arial"/>
                <w:sz w:val="18"/>
                <w:szCs w:val="18"/>
              </w:rPr>
            </w:pPr>
            <w:proofErr w:type="spellStart"/>
            <w:r w:rsidRPr="003E3F69">
              <w:rPr>
                <w:rFonts w:ascii="Arial" w:hAnsi="Arial" w:cs="Arial"/>
                <w:sz w:val="18"/>
                <w:szCs w:val="18"/>
              </w:rPr>
              <w:t>Hospitalisation</w:t>
            </w:r>
            <w:proofErr w:type="spellEnd"/>
            <w:r w:rsidRPr="003E3F69">
              <w:rPr>
                <w:rFonts w:ascii="Arial" w:hAnsi="Arial" w:cs="Arial"/>
                <w:sz w:val="18"/>
                <w:szCs w:val="18"/>
              </w:rPr>
              <w:t xml:space="preserve"> </w:t>
            </w:r>
            <w:r>
              <w:rPr>
                <w:rFonts w:ascii="Arial" w:hAnsi="Arial" w:cs="Arial"/>
                <w:sz w:val="18"/>
                <w:szCs w:val="18"/>
              </w:rPr>
              <w:t xml:space="preserve">for </w:t>
            </w:r>
            <w:r w:rsidRPr="003E3F69">
              <w:rPr>
                <w:rFonts w:ascii="Arial" w:hAnsi="Arial" w:cs="Arial"/>
                <w:sz w:val="18"/>
                <w:szCs w:val="18"/>
              </w:rPr>
              <w:t xml:space="preserve">older adults </w:t>
            </w:r>
            <w:r>
              <w:rPr>
                <w:rFonts w:ascii="Arial" w:hAnsi="Arial" w:cs="Arial"/>
                <w:sz w:val="18"/>
                <w:szCs w:val="18"/>
              </w:rPr>
              <w:t xml:space="preserve">with frailty </w:t>
            </w:r>
            <w:r w:rsidRPr="003E3F69">
              <w:rPr>
                <w:rFonts w:ascii="Arial" w:hAnsi="Arial" w:cs="Arial"/>
                <w:sz w:val="18"/>
                <w:szCs w:val="18"/>
              </w:rPr>
              <w:t>increases delirium risk due to environmental and physiological stressors. The study tested whether home rehabilitation reduced delirium incidence compared with standard inpatient rehabilitation.</w:t>
            </w:r>
          </w:p>
        </w:tc>
        <w:tc>
          <w:tcPr>
            <w:tcW w:w="0" w:type="auto"/>
          </w:tcPr>
          <w:p w14:paraId="43105D23" w14:textId="77777777" w:rsidR="009C5955" w:rsidRPr="0047274F" w:rsidRDefault="009C5955" w:rsidP="00182AD2">
            <w:pPr>
              <w:spacing w:after="120" w:line="240" w:lineRule="auto"/>
              <w:rPr>
                <w:rFonts w:ascii="Arial" w:hAnsi="Arial" w:cs="Arial"/>
                <w:sz w:val="18"/>
                <w:szCs w:val="18"/>
              </w:rPr>
            </w:pPr>
            <w:r w:rsidRPr="003E3F69">
              <w:rPr>
                <w:rFonts w:ascii="Arial" w:hAnsi="Arial" w:cs="Arial"/>
                <w:sz w:val="18"/>
                <w:szCs w:val="18"/>
              </w:rPr>
              <w:t xml:space="preserve">Hospitalisation </w:t>
            </w:r>
            <w:r>
              <w:rPr>
                <w:rFonts w:ascii="Arial" w:hAnsi="Arial" w:cs="Arial"/>
                <w:sz w:val="18"/>
                <w:szCs w:val="18"/>
              </w:rPr>
              <w:t xml:space="preserve">for </w:t>
            </w:r>
            <w:r w:rsidRPr="003E3F69">
              <w:rPr>
                <w:rFonts w:ascii="Arial" w:hAnsi="Arial" w:cs="Arial"/>
                <w:sz w:val="18"/>
                <w:szCs w:val="18"/>
              </w:rPr>
              <w:t xml:space="preserve">older adults </w:t>
            </w:r>
            <w:r>
              <w:rPr>
                <w:rFonts w:ascii="Arial" w:hAnsi="Arial" w:cs="Arial"/>
                <w:sz w:val="18"/>
                <w:szCs w:val="18"/>
              </w:rPr>
              <w:t xml:space="preserve">with frailty </w:t>
            </w:r>
            <w:r w:rsidRPr="003E3F69">
              <w:rPr>
                <w:rFonts w:ascii="Arial" w:hAnsi="Arial" w:cs="Arial"/>
                <w:sz w:val="18"/>
                <w:szCs w:val="18"/>
              </w:rPr>
              <w:t>increases risk of delirium due to environmental stress, immobilisation, and iatrogenic factors. Prior RCTs (including Caplan 2006) suggested fewer delirium episodes</w:t>
            </w:r>
            <w:r>
              <w:rPr>
                <w:rFonts w:ascii="Arial" w:hAnsi="Arial" w:cs="Arial"/>
                <w:sz w:val="18"/>
                <w:szCs w:val="18"/>
              </w:rPr>
              <w:t xml:space="preserve"> with home-based interventions</w:t>
            </w:r>
            <w:r w:rsidRPr="003E3F69">
              <w:rPr>
                <w:rFonts w:ascii="Arial" w:hAnsi="Arial" w:cs="Arial"/>
                <w:sz w:val="18"/>
                <w:szCs w:val="18"/>
              </w:rPr>
              <w:t>. The study evaluated whether GHHS, by replicating hospital-level care at home, could reduce delirium and adverse outcomes.</w:t>
            </w:r>
          </w:p>
        </w:tc>
        <w:tc>
          <w:tcPr>
            <w:tcW w:w="0" w:type="auto"/>
          </w:tcPr>
          <w:p w14:paraId="65D1D5B7" w14:textId="77777777" w:rsidR="009C5955" w:rsidRPr="003532BA" w:rsidRDefault="009C5955" w:rsidP="00182AD2">
            <w:pPr>
              <w:spacing w:after="120" w:line="240" w:lineRule="auto"/>
              <w:rPr>
                <w:rFonts w:ascii="Arial" w:hAnsi="Arial" w:cs="Arial"/>
                <w:sz w:val="18"/>
                <w:szCs w:val="18"/>
              </w:rPr>
            </w:pPr>
            <w:r w:rsidRPr="003E3F69">
              <w:rPr>
                <w:rFonts w:ascii="Arial" w:hAnsi="Arial" w:cs="Arial"/>
                <w:sz w:val="18"/>
                <w:szCs w:val="18"/>
              </w:rPr>
              <w:t>Delirium is common and often undetected among older adults post-hospitalisation, leading to cognitive and functional decline, rehospitalisation, and mortality. The study estimated the effect of an innovative nursing intervention to detect and/or to prevent delirium among discharged older adults receiving home health care compared to usual home care.</w:t>
            </w:r>
          </w:p>
        </w:tc>
      </w:tr>
      <w:tr w:rsidR="009C5955" w:rsidRPr="00423A86" w14:paraId="048CD6B6" w14:textId="77777777" w:rsidTr="00182AD2">
        <w:tc>
          <w:tcPr>
            <w:tcW w:w="0" w:type="auto"/>
          </w:tcPr>
          <w:p w14:paraId="3AA120A4" w14:textId="77777777" w:rsidR="009C5955" w:rsidRPr="003532BA" w:rsidRDefault="009C5955" w:rsidP="00182AD2">
            <w:pPr>
              <w:pStyle w:val="Bibliography"/>
              <w:spacing w:after="120"/>
              <w:rPr>
                <w:rFonts w:ascii="Arial" w:hAnsi="Arial" w:cs="Arial"/>
                <w:sz w:val="18"/>
                <w:szCs w:val="18"/>
              </w:rPr>
            </w:pPr>
            <w:r w:rsidRPr="003532BA">
              <w:rPr>
                <w:rFonts w:ascii="Arial" w:hAnsi="Arial" w:cs="Arial"/>
                <w:b/>
                <w:bCs/>
                <w:sz w:val="18"/>
                <w:szCs w:val="18"/>
              </w:rPr>
              <w:t>3. What (Materials)</w:t>
            </w:r>
          </w:p>
        </w:tc>
        <w:tc>
          <w:tcPr>
            <w:tcW w:w="0" w:type="auto"/>
          </w:tcPr>
          <w:p w14:paraId="526E1356" w14:textId="77777777" w:rsidR="009C5955" w:rsidRPr="003532BA" w:rsidRDefault="009C5955" w:rsidP="00182AD2">
            <w:pPr>
              <w:pStyle w:val="Bibliography"/>
              <w:spacing w:after="120"/>
              <w:rPr>
                <w:rFonts w:ascii="Arial" w:hAnsi="Arial" w:cs="Arial"/>
                <w:sz w:val="18"/>
                <w:szCs w:val="18"/>
              </w:rPr>
            </w:pPr>
            <w:proofErr w:type="spellStart"/>
            <w:r w:rsidRPr="003532BA">
              <w:rPr>
                <w:rFonts w:ascii="Arial" w:hAnsi="Arial" w:cs="Arial"/>
                <w:sz w:val="18"/>
                <w:szCs w:val="18"/>
              </w:rPr>
              <w:t>HitH</w:t>
            </w:r>
            <w:proofErr w:type="spellEnd"/>
            <w:r w:rsidRPr="003532BA">
              <w:rPr>
                <w:rFonts w:ascii="Arial" w:hAnsi="Arial" w:cs="Arial"/>
                <w:sz w:val="18"/>
                <w:szCs w:val="18"/>
              </w:rPr>
              <w:t xml:space="preserve"> involved provision of physiotherapy tools, mobility aids, and medical equipment as required. Rehabilitation materials were supplied free for up to three months. </w:t>
            </w:r>
          </w:p>
        </w:tc>
        <w:tc>
          <w:tcPr>
            <w:tcW w:w="0" w:type="auto"/>
          </w:tcPr>
          <w:p w14:paraId="63E8A953" w14:textId="77777777" w:rsidR="009C5955" w:rsidRPr="0047274F" w:rsidRDefault="009C5955" w:rsidP="00182AD2">
            <w:pPr>
              <w:pStyle w:val="Bibliography"/>
              <w:spacing w:after="120"/>
              <w:rPr>
                <w:rFonts w:ascii="Arial" w:hAnsi="Arial" w:cs="Arial"/>
                <w:sz w:val="18"/>
                <w:szCs w:val="18"/>
              </w:rPr>
            </w:pPr>
            <w:r w:rsidRPr="003532BA">
              <w:rPr>
                <w:rFonts w:ascii="Arial" w:hAnsi="Arial" w:cs="Arial"/>
                <w:sz w:val="18"/>
                <w:szCs w:val="18"/>
              </w:rPr>
              <w:t>GHHS provided medical equipment in the home, as needed, and non-pharmacological delirium prevention supports such as orientation boards (with names, clocks, calendars), relaxation materials (warm drinks, music), cognitive activities (word games etc.), and hydration and nutrition aids (oral care supplies, small frequent meals).</w:t>
            </w:r>
          </w:p>
        </w:tc>
        <w:tc>
          <w:tcPr>
            <w:tcW w:w="0" w:type="auto"/>
          </w:tcPr>
          <w:p w14:paraId="6FB4C23F" w14:textId="77777777" w:rsidR="009C5955" w:rsidRPr="0047274F" w:rsidRDefault="009C5955" w:rsidP="00182AD2">
            <w:pPr>
              <w:pStyle w:val="Bibliography"/>
              <w:spacing w:after="120"/>
              <w:rPr>
                <w:rFonts w:ascii="Arial" w:hAnsi="Arial" w:cs="Arial"/>
                <w:sz w:val="18"/>
                <w:szCs w:val="18"/>
              </w:rPr>
            </w:pPr>
            <w:r w:rsidRPr="003532BA">
              <w:rPr>
                <w:rFonts w:ascii="Arial" w:hAnsi="Arial" w:cs="Arial"/>
                <w:sz w:val="18"/>
                <w:szCs w:val="18"/>
              </w:rPr>
              <w:t>The nurse-led intervention provided non-pharmacological delirium prevention supports including orientation aids (clocks, calendars, clear signage), safety and mobility aids (handrails, adjusted home layouts), hydration and nutrition materials (bottles, reminders to hydrate, meal coordination), sensory aids (glasses, hearing aids), and printed educational leaflets for participants and carers. A structured user guide outlined 15 nursing protocols across six domains.</w:t>
            </w:r>
          </w:p>
        </w:tc>
      </w:tr>
      <w:tr w:rsidR="009C5955" w:rsidRPr="00423A86" w14:paraId="15E5C663" w14:textId="77777777" w:rsidTr="00182AD2">
        <w:tc>
          <w:tcPr>
            <w:tcW w:w="0" w:type="auto"/>
          </w:tcPr>
          <w:p w14:paraId="2A15C648"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b/>
                <w:bCs/>
                <w:sz w:val="18"/>
                <w:szCs w:val="18"/>
              </w:rPr>
              <w:t>4. What (Procedures)</w:t>
            </w:r>
          </w:p>
        </w:tc>
        <w:tc>
          <w:tcPr>
            <w:tcW w:w="0" w:type="auto"/>
          </w:tcPr>
          <w:p w14:paraId="20647A8C" w14:textId="77777777" w:rsidR="009C5955" w:rsidRPr="00A146F5" w:rsidRDefault="009C5955" w:rsidP="00182AD2">
            <w:pPr>
              <w:pStyle w:val="Bibliography"/>
              <w:spacing w:after="120"/>
              <w:rPr>
                <w:rFonts w:ascii="Arial" w:hAnsi="Arial" w:cs="Arial"/>
                <w:sz w:val="18"/>
                <w:szCs w:val="18"/>
              </w:rPr>
            </w:pPr>
            <w:proofErr w:type="spellStart"/>
            <w:r w:rsidRPr="00A146F5">
              <w:rPr>
                <w:rFonts w:ascii="Arial" w:hAnsi="Arial" w:cs="Arial"/>
                <w:sz w:val="18"/>
                <w:szCs w:val="18"/>
              </w:rPr>
              <w:t>HitH</w:t>
            </w:r>
            <w:proofErr w:type="spellEnd"/>
            <w:r w:rsidRPr="00A146F5">
              <w:rPr>
                <w:rFonts w:ascii="Arial" w:hAnsi="Arial" w:cs="Arial"/>
                <w:sz w:val="18"/>
                <w:szCs w:val="18"/>
              </w:rPr>
              <w:t xml:space="preserve"> participants were visited daily for the duration of rehabilitation by multidisciplinary rehabilitation staff. The intervention </w:t>
            </w:r>
            <w:proofErr w:type="spellStart"/>
            <w:r w:rsidRPr="00A146F5">
              <w:rPr>
                <w:rFonts w:ascii="Arial" w:hAnsi="Arial" w:cs="Arial"/>
                <w:sz w:val="18"/>
                <w:szCs w:val="18"/>
              </w:rPr>
              <w:t>emphasised</w:t>
            </w:r>
            <w:proofErr w:type="spellEnd"/>
            <w:r w:rsidRPr="00A146F5">
              <w:rPr>
                <w:rFonts w:ascii="Arial" w:hAnsi="Arial" w:cs="Arial"/>
                <w:sz w:val="18"/>
                <w:szCs w:val="18"/>
              </w:rPr>
              <w:t xml:space="preserve"> early mobility, delirium risk reduction, shared-care management, and education.</w:t>
            </w:r>
          </w:p>
        </w:tc>
        <w:tc>
          <w:tcPr>
            <w:tcW w:w="0" w:type="auto"/>
          </w:tcPr>
          <w:p w14:paraId="49BDFDCA"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sz w:val="18"/>
                <w:szCs w:val="18"/>
              </w:rPr>
              <w:t xml:space="preserve">GHHS </w:t>
            </w:r>
            <w:r>
              <w:rPr>
                <w:rFonts w:ascii="Arial" w:hAnsi="Arial" w:cs="Arial"/>
                <w:sz w:val="18"/>
                <w:szCs w:val="18"/>
              </w:rPr>
              <w:t>participants received three</w:t>
            </w:r>
            <w:r w:rsidRPr="00A146F5">
              <w:rPr>
                <w:rFonts w:ascii="Arial" w:hAnsi="Arial" w:cs="Arial"/>
                <w:sz w:val="18"/>
                <w:szCs w:val="18"/>
              </w:rPr>
              <w:t xml:space="preserve"> </w:t>
            </w:r>
            <w:r>
              <w:rPr>
                <w:rFonts w:ascii="Arial" w:hAnsi="Arial" w:cs="Arial"/>
                <w:sz w:val="18"/>
                <w:szCs w:val="18"/>
              </w:rPr>
              <w:t xml:space="preserve">sessions per day by </w:t>
            </w:r>
            <w:r w:rsidRPr="00A146F5">
              <w:rPr>
                <w:rFonts w:ascii="Arial" w:hAnsi="Arial" w:cs="Arial"/>
                <w:sz w:val="18"/>
                <w:szCs w:val="18"/>
              </w:rPr>
              <w:t xml:space="preserve">multidisciplinary home-based care for the duration of rehabilitation. </w:t>
            </w:r>
            <w:r>
              <w:rPr>
                <w:rFonts w:ascii="Arial" w:hAnsi="Arial" w:cs="Arial"/>
                <w:sz w:val="18"/>
                <w:szCs w:val="18"/>
              </w:rPr>
              <w:t>N</w:t>
            </w:r>
            <w:r w:rsidRPr="00A146F5">
              <w:rPr>
                <w:rFonts w:ascii="Arial" w:hAnsi="Arial" w:cs="Arial"/>
                <w:sz w:val="18"/>
                <w:szCs w:val="18"/>
              </w:rPr>
              <w:t>on-pharmacological strategies to prevent and manage delirium were applied.</w:t>
            </w:r>
            <w:r>
              <w:rPr>
                <w:rFonts w:ascii="Arial" w:hAnsi="Arial" w:cs="Arial"/>
                <w:sz w:val="18"/>
                <w:szCs w:val="18"/>
              </w:rPr>
              <w:t xml:space="preserve"> Not all components were delivered at each session.</w:t>
            </w:r>
          </w:p>
        </w:tc>
        <w:tc>
          <w:tcPr>
            <w:tcW w:w="0" w:type="auto"/>
          </w:tcPr>
          <w:p w14:paraId="18BDF950" w14:textId="1EC7EB90" w:rsidR="009C5955" w:rsidRPr="00F46066" w:rsidRDefault="009C5955" w:rsidP="00182AD2">
            <w:pPr>
              <w:pStyle w:val="Bibliography"/>
              <w:spacing w:after="120"/>
              <w:rPr>
                <w:rFonts w:ascii="Arial" w:hAnsi="Arial" w:cs="Arial"/>
                <w:sz w:val="18"/>
                <w:szCs w:val="18"/>
              </w:rPr>
            </w:pPr>
            <w:r w:rsidRPr="00F46066">
              <w:rPr>
                <w:rFonts w:ascii="Arial" w:hAnsi="Arial" w:cs="Arial"/>
                <w:sz w:val="18"/>
                <w:szCs w:val="18"/>
              </w:rPr>
              <w:t>The first home visit, conducted within 48</w:t>
            </w:r>
            <w:r>
              <w:rPr>
                <w:rFonts w:ascii="Arial" w:hAnsi="Arial" w:cs="Arial"/>
                <w:sz w:val="18"/>
                <w:szCs w:val="18"/>
              </w:rPr>
              <w:t xml:space="preserve"> </w:t>
            </w:r>
            <w:r w:rsidRPr="00F46066">
              <w:rPr>
                <w:rFonts w:ascii="Arial" w:hAnsi="Arial" w:cs="Arial"/>
                <w:sz w:val="18"/>
                <w:szCs w:val="18"/>
              </w:rPr>
              <w:t>h</w:t>
            </w:r>
            <w:r>
              <w:rPr>
                <w:rFonts w:ascii="Arial" w:hAnsi="Arial" w:cs="Arial"/>
                <w:sz w:val="18"/>
                <w:szCs w:val="18"/>
              </w:rPr>
              <w:t>ours</w:t>
            </w:r>
            <w:r w:rsidRPr="00F46066">
              <w:rPr>
                <w:rFonts w:ascii="Arial" w:hAnsi="Arial" w:cs="Arial"/>
                <w:sz w:val="18"/>
                <w:szCs w:val="18"/>
              </w:rPr>
              <w:t xml:space="preserve"> of consent, included reassessment of delirium symptoms (CAM), evaluation functional status (ADL/IADL), and vital signs (glycaemia, blood pressure, heart rate, pain, oxygen saturation, temperature). If delirium symptoms were present or patient condition worsened, the </w:t>
            </w:r>
            <w:r w:rsidRPr="009C5955">
              <w:rPr>
                <w:rFonts w:ascii="Arial" w:hAnsi="Arial" w:cs="Arial"/>
                <w:sz w:val="18"/>
                <w:szCs w:val="18"/>
              </w:rPr>
              <w:t xml:space="preserve">geriatric clinical nurse </w:t>
            </w:r>
            <w:r>
              <w:rPr>
                <w:rFonts w:ascii="Arial" w:hAnsi="Arial" w:cs="Arial"/>
                <w:sz w:val="18"/>
                <w:szCs w:val="18"/>
              </w:rPr>
              <w:t>(</w:t>
            </w:r>
            <w:r w:rsidRPr="00F46066">
              <w:rPr>
                <w:rFonts w:ascii="Arial" w:hAnsi="Arial" w:cs="Arial"/>
                <w:sz w:val="18"/>
                <w:szCs w:val="18"/>
              </w:rPr>
              <w:t>GCN</w:t>
            </w:r>
            <w:r>
              <w:rPr>
                <w:rFonts w:ascii="Arial" w:hAnsi="Arial" w:cs="Arial"/>
                <w:sz w:val="18"/>
                <w:szCs w:val="18"/>
              </w:rPr>
              <w:t>)</w:t>
            </w:r>
            <w:r w:rsidRPr="00F46066">
              <w:rPr>
                <w:rFonts w:ascii="Arial" w:hAnsi="Arial" w:cs="Arial"/>
                <w:sz w:val="18"/>
                <w:szCs w:val="18"/>
              </w:rPr>
              <w:t xml:space="preserve"> provided reassurance, </w:t>
            </w:r>
            <w:r w:rsidRPr="00F46066">
              <w:rPr>
                <w:rFonts w:ascii="Arial" w:hAnsi="Arial" w:cs="Arial"/>
                <w:sz w:val="18"/>
                <w:szCs w:val="18"/>
              </w:rPr>
              <w:lastRenderedPageBreak/>
              <w:t xml:space="preserve">education, and written materials to the participant and carer, and, when necessary, advised contacting </w:t>
            </w:r>
            <w:r>
              <w:rPr>
                <w:rFonts w:ascii="Arial" w:hAnsi="Arial" w:cs="Arial"/>
                <w:sz w:val="18"/>
                <w:szCs w:val="18"/>
              </w:rPr>
              <w:t>a general practitioner (</w:t>
            </w:r>
            <w:r w:rsidRPr="00F46066">
              <w:rPr>
                <w:rFonts w:ascii="Arial" w:hAnsi="Arial" w:cs="Arial"/>
                <w:sz w:val="18"/>
                <w:szCs w:val="18"/>
              </w:rPr>
              <w:t>GP</w:t>
            </w:r>
            <w:r>
              <w:rPr>
                <w:rFonts w:ascii="Arial" w:hAnsi="Arial" w:cs="Arial"/>
                <w:sz w:val="18"/>
                <w:szCs w:val="18"/>
              </w:rPr>
              <w:t>)</w:t>
            </w:r>
            <w:r w:rsidRPr="00F46066">
              <w:rPr>
                <w:rFonts w:ascii="Arial" w:hAnsi="Arial" w:cs="Arial"/>
                <w:sz w:val="18"/>
                <w:szCs w:val="18"/>
              </w:rPr>
              <w:t>.</w:t>
            </w:r>
          </w:p>
          <w:p w14:paraId="4B123E1D" w14:textId="77777777" w:rsidR="009C5955" w:rsidRPr="00A146F5" w:rsidRDefault="009C5955" w:rsidP="00182AD2">
            <w:pPr>
              <w:pStyle w:val="Bibliography"/>
              <w:spacing w:after="120"/>
              <w:rPr>
                <w:rFonts w:ascii="Arial" w:hAnsi="Arial" w:cs="Arial"/>
                <w:sz w:val="18"/>
                <w:szCs w:val="18"/>
              </w:rPr>
            </w:pPr>
            <w:r>
              <w:rPr>
                <w:rFonts w:ascii="Arial" w:hAnsi="Arial" w:cs="Arial"/>
                <w:sz w:val="18"/>
                <w:szCs w:val="18"/>
              </w:rPr>
              <w:t>F</w:t>
            </w:r>
            <w:r w:rsidRPr="00A146F5">
              <w:rPr>
                <w:rFonts w:ascii="Arial" w:hAnsi="Arial" w:cs="Arial"/>
                <w:sz w:val="18"/>
                <w:szCs w:val="18"/>
              </w:rPr>
              <w:t>ive structured home visits during study period, covering seven domains: assessment, detection, monitoring, support, direct care, health promotion, and education. The intervention was guided by a structured manual comprising 15 nursing-specific protocols and approximately 70 nursing activities.</w:t>
            </w:r>
          </w:p>
        </w:tc>
      </w:tr>
      <w:tr w:rsidR="009C5955" w:rsidRPr="00423A86" w14:paraId="6A610562" w14:textId="77777777" w:rsidTr="00182AD2">
        <w:tc>
          <w:tcPr>
            <w:tcW w:w="0" w:type="auto"/>
          </w:tcPr>
          <w:p w14:paraId="2AF8945D"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b/>
                <w:bCs/>
                <w:sz w:val="18"/>
                <w:szCs w:val="18"/>
              </w:rPr>
              <w:lastRenderedPageBreak/>
              <w:t>5. Who Provided</w:t>
            </w:r>
          </w:p>
        </w:tc>
        <w:tc>
          <w:tcPr>
            <w:tcW w:w="0" w:type="auto"/>
          </w:tcPr>
          <w:p w14:paraId="1D6089CE"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sz w:val="18"/>
                <w:szCs w:val="18"/>
              </w:rPr>
              <w:t xml:space="preserve">A multidisciplinary outreach team (nurses, physiotherapists, occupational therapists, doctors) experienced in hospital-at-home models since 1989. </w:t>
            </w:r>
          </w:p>
        </w:tc>
        <w:tc>
          <w:tcPr>
            <w:tcW w:w="0" w:type="auto"/>
          </w:tcPr>
          <w:p w14:paraId="1B936B65"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sz w:val="18"/>
                <w:szCs w:val="18"/>
              </w:rPr>
              <w:t xml:space="preserve">A geriatric multidisciplinary team (3 geriatricians, 13 nurses, 2 physiotherapists, 1 social worker, 1 counsellor). </w:t>
            </w:r>
          </w:p>
        </w:tc>
        <w:tc>
          <w:tcPr>
            <w:tcW w:w="0" w:type="auto"/>
          </w:tcPr>
          <w:p w14:paraId="018BC714" w14:textId="4F12D97C" w:rsidR="009C5955" w:rsidRPr="00A146F5" w:rsidRDefault="009C5955" w:rsidP="00182AD2">
            <w:pPr>
              <w:pStyle w:val="Bibliography"/>
              <w:spacing w:after="120"/>
              <w:rPr>
                <w:rFonts w:ascii="Arial" w:hAnsi="Arial" w:cs="Arial"/>
                <w:sz w:val="18"/>
                <w:szCs w:val="18"/>
              </w:rPr>
            </w:pPr>
            <w:r w:rsidRPr="00A146F5">
              <w:rPr>
                <w:rFonts w:ascii="Arial" w:hAnsi="Arial" w:cs="Arial"/>
                <w:sz w:val="18"/>
                <w:szCs w:val="18"/>
              </w:rPr>
              <w:t xml:space="preserve">One GCN delivered all visits, trained over 3 days by the PI in delirium recognition (CAM), risk assessment, and protocol use. </w:t>
            </w:r>
          </w:p>
        </w:tc>
      </w:tr>
      <w:tr w:rsidR="009C5955" w:rsidRPr="00423A86" w14:paraId="19FFDD42" w14:textId="77777777" w:rsidTr="00182AD2">
        <w:tc>
          <w:tcPr>
            <w:tcW w:w="0" w:type="auto"/>
          </w:tcPr>
          <w:p w14:paraId="27186682"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b/>
                <w:bCs/>
                <w:sz w:val="18"/>
                <w:szCs w:val="18"/>
              </w:rPr>
              <w:t>6. How (Mode of Delivery)</w:t>
            </w:r>
          </w:p>
        </w:tc>
        <w:tc>
          <w:tcPr>
            <w:tcW w:w="0" w:type="auto"/>
          </w:tcPr>
          <w:p w14:paraId="6E21495D" w14:textId="77777777" w:rsidR="009C5955" w:rsidRPr="00A146F5" w:rsidRDefault="009C5955" w:rsidP="00182AD2">
            <w:pPr>
              <w:pStyle w:val="Bibliography"/>
              <w:spacing w:after="120"/>
              <w:rPr>
                <w:rFonts w:ascii="Arial" w:hAnsi="Arial" w:cs="Arial"/>
                <w:sz w:val="18"/>
                <w:szCs w:val="18"/>
              </w:rPr>
            </w:pPr>
            <w:r w:rsidRPr="00B96C3B">
              <w:rPr>
                <w:rFonts w:ascii="Arial" w:hAnsi="Arial" w:cs="Arial"/>
                <w:sz w:val="18"/>
                <w:szCs w:val="18"/>
              </w:rPr>
              <w:t xml:space="preserve">The intervention was delivered face-to-face in patients’ homes by outreach staff. </w:t>
            </w:r>
          </w:p>
        </w:tc>
        <w:tc>
          <w:tcPr>
            <w:tcW w:w="0" w:type="auto"/>
          </w:tcPr>
          <w:p w14:paraId="0E086136"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sz w:val="18"/>
                <w:szCs w:val="18"/>
              </w:rPr>
              <w:t>The intervention was delivered face-to-face</w:t>
            </w:r>
            <w:r w:rsidRPr="00B96C3B">
              <w:rPr>
                <w:rFonts w:ascii="Arial" w:hAnsi="Arial" w:cs="Arial"/>
                <w:sz w:val="18"/>
                <w:szCs w:val="18"/>
              </w:rPr>
              <w:t xml:space="preserve"> by multidisciplinary team in patients’ homes. </w:t>
            </w:r>
          </w:p>
        </w:tc>
        <w:tc>
          <w:tcPr>
            <w:tcW w:w="0" w:type="auto"/>
          </w:tcPr>
          <w:p w14:paraId="728601CC" w14:textId="212E3C78" w:rsidR="009C5955" w:rsidRPr="00A146F5" w:rsidRDefault="009C5955" w:rsidP="00182AD2">
            <w:pPr>
              <w:pStyle w:val="Bibliography"/>
              <w:spacing w:after="120"/>
              <w:rPr>
                <w:rFonts w:ascii="Arial" w:hAnsi="Arial" w:cs="Arial"/>
                <w:sz w:val="18"/>
                <w:szCs w:val="18"/>
              </w:rPr>
            </w:pPr>
            <w:r w:rsidRPr="00A146F5">
              <w:rPr>
                <w:rFonts w:ascii="Arial" w:hAnsi="Arial" w:cs="Arial"/>
                <w:sz w:val="18"/>
                <w:szCs w:val="18"/>
              </w:rPr>
              <w:t>The intervention was delivered face-to-face</w:t>
            </w:r>
            <w:r w:rsidRPr="00B96C3B">
              <w:rPr>
                <w:rFonts w:ascii="Arial" w:hAnsi="Arial" w:cs="Arial"/>
                <w:sz w:val="18"/>
                <w:szCs w:val="18"/>
              </w:rPr>
              <w:t xml:space="preserve"> by the GCN. Intervention adapted to patient context using structured guide.</w:t>
            </w:r>
          </w:p>
        </w:tc>
      </w:tr>
      <w:tr w:rsidR="009C5955" w:rsidRPr="00423A86" w14:paraId="406AD439" w14:textId="77777777" w:rsidTr="00182AD2">
        <w:tc>
          <w:tcPr>
            <w:tcW w:w="0" w:type="auto"/>
          </w:tcPr>
          <w:p w14:paraId="07D7E10E" w14:textId="77777777" w:rsidR="009C5955" w:rsidRPr="00A146F5" w:rsidRDefault="009C5955" w:rsidP="00182AD2">
            <w:pPr>
              <w:pStyle w:val="Bibliography"/>
              <w:spacing w:after="120"/>
              <w:rPr>
                <w:rFonts w:ascii="Arial" w:hAnsi="Arial" w:cs="Arial"/>
                <w:sz w:val="18"/>
                <w:szCs w:val="18"/>
              </w:rPr>
            </w:pPr>
            <w:r w:rsidRPr="00A146F5">
              <w:rPr>
                <w:rFonts w:ascii="Arial" w:hAnsi="Arial" w:cs="Arial"/>
                <w:b/>
                <w:bCs/>
                <w:sz w:val="18"/>
                <w:szCs w:val="18"/>
              </w:rPr>
              <w:t>7. Where (Location)</w:t>
            </w:r>
          </w:p>
        </w:tc>
        <w:tc>
          <w:tcPr>
            <w:tcW w:w="0" w:type="auto"/>
          </w:tcPr>
          <w:p w14:paraId="7FE192C6" w14:textId="77777777" w:rsidR="009C5955" w:rsidRPr="00D40F06" w:rsidRDefault="009C5955" w:rsidP="00182AD2">
            <w:pPr>
              <w:pStyle w:val="Bibliography"/>
              <w:spacing w:after="120"/>
              <w:rPr>
                <w:rFonts w:ascii="Arial" w:hAnsi="Arial" w:cs="Arial"/>
                <w:sz w:val="18"/>
                <w:szCs w:val="18"/>
              </w:rPr>
            </w:pPr>
            <w:r>
              <w:rPr>
                <w:rFonts w:ascii="Arial" w:hAnsi="Arial" w:cs="Arial"/>
                <w:sz w:val="18"/>
                <w:szCs w:val="18"/>
              </w:rPr>
              <w:t>P</w:t>
            </w:r>
            <w:r w:rsidRPr="00F46066">
              <w:rPr>
                <w:rFonts w:ascii="Arial" w:hAnsi="Arial" w:cs="Arial"/>
                <w:sz w:val="18"/>
                <w:szCs w:val="18"/>
              </w:rPr>
              <w:t>a</w:t>
            </w:r>
            <w:r>
              <w:rPr>
                <w:rFonts w:ascii="Arial" w:hAnsi="Arial" w:cs="Arial"/>
                <w:sz w:val="18"/>
                <w:szCs w:val="18"/>
              </w:rPr>
              <w:t>rticipants</w:t>
            </w:r>
            <w:r w:rsidRPr="00F46066">
              <w:rPr>
                <w:rFonts w:ascii="Arial" w:hAnsi="Arial" w:cs="Arial"/>
                <w:sz w:val="18"/>
                <w:szCs w:val="18"/>
              </w:rPr>
              <w:t xml:space="preserve"> </w:t>
            </w:r>
            <w:r>
              <w:rPr>
                <w:rFonts w:ascii="Arial" w:hAnsi="Arial" w:cs="Arial"/>
                <w:sz w:val="18"/>
                <w:szCs w:val="18"/>
              </w:rPr>
              <w:t xml:space="preserve">received </w:t>
            </w:r>
            <w:proofErr w:type="spellStart"/>
            <w:r>
              <w:rPr>
                <w:rFonts w:ascii="Arial" w:hAnsi="Arial" w:cs="Arial"/>
                <w:sz w:val="18"/>
                <w:szCs w:val="18"/>
              </w:rPr>
              <w:t>HitH</w:t>
            </w:r>
            <w:proofErr w:type="spellEnd"/>
            <w:r>
              <w:rPr>
                <w:rFonts w:ascii="Arial" w:hAnsi="Arial" w:cs="Arial"/>
                <w:sz w:val="18"/>
                <w:szCs w:val="18"/>
              </w:rPr>
              <w:t xml:space="preserve"> in their private </w:t>
            </w:r>
            <w:r w:rsidRPr="00F46066">
              <w:rPr>
                <w:rFonts w:ascii="Arial" w:hAnsi="Arial" w:cs="Arial"/>
                <w:sz w:val="18"/>
                <w:szCs w:val="18"/>
              </w:rPr>
              <w:t>homes</w:t>
            </w:r>
            <w:r>
              <w:rPr>
                <w:rFonts w:ascii="Arial" w:hAnsi="Arial" w:cs="Arial"/>
                <w:sz w:val="18"/>
                <w:szCs w:val="18"/>
              </w:rPr>
              <w:t>.</w:t>
            </w:r>
            <w:r w:rsidRPr="00D40F06">
              <w:rPr>
                <w:rFonts w:ascii="Arial" w:hAnsi="Arial" w:cs="Arial"/>
                <w:sz w:val="18"/>
                <w:szCs w:val="18"/>
              </w:rPr>
              <w:t xml:space="preserve"> </w:t>
            </w:r>
          </w:p>
        </w:tc>
        <w:tc>
          <w:tcPr>
            <w:tcW w:w="0" w:type="auto"/>
          </w:tcPr>
          <w:p w14:paraId="0BC8BB15" w14:textId="77777777" w:rsidR="009C5955" w:rsidRPr="00D40F06" w:rsidRDefault="009C5955" w:rsidP="00182AD2">
            <w:pPr>
              <w:pStyle w:val="Bibliography"/>
              <w:spacing w:after="120"/>
              <w:rPr>
                <w:rFonts w:ascii="Arial" w:hAnsi="Arial" w:cs="Arial"/>
                <w:sz w:val="18"/>
                <w:szCs w:val="18"/>
              </w:rPr>
            </w:pPr>
            <w:r>
              <w:rPr>
                <w:rFonts w:ascii="Arial" w:hAnsi="Arial" w:cs="Arial"/>
                <w:sz w:val="18"/>
                <w:szCs w:val="18"/>
              </w:rPr>
              <w:t>P</w:t>
            </w:r>
            <w:r w:rsidRPr="00F46066">
              <w:rPr>
                <w:rFonts w:ascii="Arial" w:hAnsi="Arial" w:cs="Arial"/>
                <w:sz w:val="18"/>
                <w:szCs w:val="18"/>
              </w:rPr>
              <w:t>a</w:t>
            </w:r>
            <w:r>
              <w:rPr>
                <w:rFonts w:ascii="Arial" w:hAnsi="Arial" w:cs="Arial"/>
                <w:sz w:val="18"/>
                <w:szCs w:val="18"/>
              </w:rPr>
              <w:t>rticipants</w:t>
            </w:r>
            <w:r w:rsidRPr="00F46066">
              <w:rPr>
                <w:rFonts w:ascii="Arial" w:hAnsi="Arial" w:cs="Arial"/>
                <w:sz w:val="18"/>
                <w:szCs w:val="18"/>
              </w:rPr>
              <w:t xml:space="preserve"> </w:t>
            </w:r>
            <w:r>
              <w:rPr>
                <w:rFonts w:ascii="Arial" w:hAnsi="Arial" w:cs="Arial"/>
                <w:sz w:val="18"/>
                <w:szCs w:val="18"/>
              </w:rPr>
              <w:t xml:space="preserve">received GHHS in their private </w:t>
            </w:r>
            <w:r w:rsidRPr="00F46066">
              <w:rPr>
                <w:rFonts w:ascii="Arial" w:hAnsi="Arial" w:cs="Arial"/>
                <w:sz w:val="18"/>
                <w:szCs w:val="18"/>
              </w:rPr>
              <w:t>homes</w:t>
            </w:r>
            <w:r>
              <w:rPr>
                <w:rFonts w:ascii="Arial" w:hAnsi="Arial" w:cs="Arial"/>
                <w:sz w:val="18"/>
                <w:szCs w:val="18"/>
              </w:rPr>
              <w:t>.</w:t>
            </w:r>
            <w:r w:rsidRPr="00D40F06">
              <w:rPr>
                <w:rFonts w:ascii="Arial" w:hAnsi="Arial" w:cs="Arial"/>
                <w:sz w:val="18"/>
                <w:szCs w:val="18"/>
              </w:rPr>
              <w:t xml:space="preserve"> </w:t>
            </w:r>
          </w:p>
        </w:tc>
        <w:tc>
          <w:tcPr>
            <w:tcW w:w="0" w:type="auto"/>
          </w:tcPr>
          <w:p w14:paraId="2EBDBF90" w14:textId="77777777" w:rsidR="009C5955" w:rsidRPr="00B96C3B" w:rsidRDefault="009C5955" w:rsidP="00182AD2">
            <w:pPr>
              <w:pStyle w:val="Bibliography"/>
              <w:spacing w:after="120"/>
              <w:rPr>
                <w:rFonts w:ascii="Arial" w:hAnsi="Arial" w:cs="Arial"/>
                <w:sz w:val="18"/>
                <w:szCs w:val="18"/>
              </w:rPr>
            </w:pPr>
            <w:r>
              <w:rPr>
                <w:rFonts w:ascii="Arial" w:hAnsi="Arial" w:cs="Arial"/>
                <w:sz w:val="18"/>
                <w:szCs w:val="18"/>
              </w:rPr>
              <w:t>P</w:t>
            </w:r>
            <w:r w:rsidRPr="00F46066">
              <w:rPr>
                <w:rFonts w:ascii="Arial" w:hAnsi="Arial" w:cs="Arial"/>
                <w:sz w:val="18"/>
                <w:szCs w:val="18"/>
              </w:rPr>
              <w:t>a</w:t>
            </w:r>
            <w:r>
              <w:rPr>
                <w:rFonts w:ascii="Arial" w:hAnsi="Arial" w:cs="Arial"/>
                <w:sz w:val="18"/>
                <w:szCs w:val="18"/>
              </w:rPr>
              <w:t>rticipants</w:t>
            </w:r>
            <w:r w:rsidRPr="00F46066">
              <w:rPr>
                <w:rFonts w:ascii="Arial" w:hAnsi="Arial" w:cs="Arial"/>
                <w:sz w:val="18"/>
                <w:szCs w:val="18"/>
              </w:rPr>
              <w:t xml:space="preserve"> </w:t>
            </w:r>
            <w:r>
              <w:rPr>
                <w:rFonts w:ascii="Arial" w:hAnsi="Arial" w:cs="Arial"/>
                <w:sz w:val="18"/>
                <w:szCs w:val="18"/>
              </w:rPr>
              <w:t xml:space="preserve">received the nurse-led intervention in their private </w:t>
            </w:r>
            <w:r w:rsidRPr="00F46066">
              <w:rPr>
                <w:rFonts w:ascii="Arial" w:hAnsi="Arial" w:cs="Arial"/>
                <w:sz w:val="18"/>
                <w:szCs w:val="18"/>
              </w:rPr>
              <w:t>homes</w:t>
            </w:r>
            <w:r>
              <w:rPr>
                <w:rFonts w:ascii="Arial" w:hAnsi="Arial" w:cs="Arial"/>
                <w:sz w:val="18"/>
                <w:szCs w:val="18"/>
              </w:rPr>
              <w:t>.</w:t>
            </w:r>
            <w:r w:rsidRPr="00D40F06">
              <w:rPr>
                <w:rFonts w:ascii="Arial" w:hAnsi="Arial" w:cs="Arial"/>
                <w:sz w:val="18"/>
                <w:szCs w:val="18"/>
              </w:rPr>
              <w:t xml:space="preserve"> </w:t>
            </w:r>
          </w:p>
        </w:tc>
      </w:tr>
      <w:tr w:rsidR="009C5955" w:rsidRPr="00423A86" w14:paraId="19BAF147" w14:textId="77777777" w:rsidTr="00182AD2">
        <w:tc>
          <w:tcPr>
            <w:tcW w:w="0" w:type="auto"/>
          </w:tcPr>
          <w:p w14:paraId="5D5C7189"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b/>
                <w:bCs/>
                <w:sz w:val="18"/>
                <w:szCs w:val="18"/>
              </w:rPr>
              <w:t>8. When and How Much (Dose)</w:t>
            </w:r>
          </w:p>
        </w:tc>
        <w:tc>
          <w:tcPr>
            <w:tcW w:w="0" w:type="auto"/>
          </w:tcPr>
          <w:p w14:paraId="3E7C8503" w14:textId="77777777" w:rsidR="009C5955" w:rsidRPr="00100C6F" w:rsidRDefault="009C5955" w:rsidP="00182AD2">
            <w:pPr>
              <w:pStyle w:val="Bibliography"/>
              <w:spacing w:after="120"/>
              <w:rPr>
                <w:rFonts w:ascii="Arial" w:hAnsi="Arial" w:cs="Arial"/>
                <w:sz w:val="18"/>
                <w:szCs w:val="18"/>
              </w:rPr>
            </w:pPr>
            <w:r>
              <w:rPr>
                <w:rFonts w:ascii="Arial" w:hAnsi="Arial" w:cs="Arial"/>
                <w:sz w:val="18"/>
                <w:szCs w:val="18"/>
              </w:rPr>
              <w:t>D</w:t>
            </w:r>
            <w:r w:rsidRPr="00100C6F">
              <w:rPr>
                <w:rFonts w:ascii="Arial" w:hAnsi="Arial" w:cs="Arial"/>
                <w:sz w:val="18"/>
                <w:szCs w:val="18"/>
              </w:rPr>
              <w:t>aily visits for the duration of rehabilitation phase with a mean of 20 visits</w:t>
            </w:r>
            <w:r>
              <w:rPr>
                <w:rFonts w:ascii="Arial" w:hAnsi="Arial" w:cs="Arial"/>
                <w:sz w:val="18"/>
                <w:szCs w:val="18"/>
              </w:rPr>
              <w:t xml:space="preserve"> over a mean period of </w:t>
            </w:r>
            <w:r w:rsidRPr="00100C6F">
              <w:rPr>
                <w:rFonts w:ascii="Arial" w:hAnsi="Arial" w:cs="Arial"/>
                <w:sz w:val="18"/>
                <w:szCs w:val="18"/>
              </w:rPr>
              <w:t>15.97±9.37 days</w:t>
            </w:r>
            <w:r>
              <w:rPr>
                <w:rFonts w:ascii="Arial" w:hAnsi="Arial" w:cs="Arial"/>
                <w:sz w:val="18"/>
                <w:szCs w:val="18"/>
              </w:rPr>
              <w:t xml:space="preserve">. </w:t>
            </w:r>
          </w:p>
        </w:tc>
        <w:tc>
          <w:tcPr>
            <w:tcW w:w="0" w:type="auto"/>
          </w:tcPr>
          <w:p w14:paraId="4A07A1AD" w14:textId="72B3E2F5" w:rsidR="009C5955" w:rsidRPr="00100C6F" w:rsidRDefault="009C5955" w:rsidP="00182AD2">
            <w:pPr>
              <w:pStyle w:val="Bibliography"/>
              <w:spacing w:after="120"/>
              <w:rPr>
                <w:rFonts w:ascii="Arial" w:hAnsi="Arial" w:cs="Arial"/>
                <w:sz w:val="18"/>
                <w:szCs w:val="18"/>
              </w:rPr>
            </w:pPr>
            <w:r>
              <w:rPr>
                <w:rFonts w:ascii="Arial" w:hAnsi="Arial" w:cs="Arial"/>
                <w:sz w:val="18"/>
                <w:szCs w:val="18"/>
              </w:rPr>
              <w:t>T</w:t>
            </w:r>
            <w:r w:rsidRPr="00100C6F">
              <w:rPr>
                <w:rFonts w:ascii="Arial" w:hAnsi="Arial" w:cs="Arial"/>
                <w:sz w:val="18"/>
                <w:szCs w:val="18"/>
              </w:rPr>
              <w:t xml:space="preserve">hree visits per day </w:t>
            </w:r>
            <w:r>
              <w:rPr>
                <w:rFonts w:ascii="Arial" w:hAnsi="Arial" w:cs="Arial"/>
                <w:sz w:val="18"/>
                <w:szCs w:val="18"/>
              </w:rPr>
              <w:t xml:space="preserve">for the duration of </w:t>
            </w:r>
            <w:r w:rsidRPr="00100C6F">
              <w:rPr>
                <w:rFonts w:ascii="Arial" w:hAnsi="Arial" w:cs="Arial"/>
                <w:sz w:val="18"/>
                <w:szCs w:val="18"/>
              </w:rPr>
              <w:t>rehabilitation</w:t>
            </w:r>
            <w:r>
              <w:rPr>
                <w:rFonts w:ascii="Arial" w:hAnsi="Arial" w:cs="Arial"/>
                <w:sz w:val="18"/>
                <w:szCs w:val="18"/>
              </w:rPr>
              <w:t xml:space="preserve"> (mean </w:t>
            </w:r>
            <w:r w:rsidRPr="00100C6F">
              <w:rPr>
                <w:rFonts w:ascii="Arial" w:hAnsi="Arial" w:cs="Arial"/>
                <w:sz w:val="18"/>
                <w:szCs w:val="18"/>
              </w:rPr>
              <w:t>19±9.5 days</w:t>
            </w:r>
            <w:r>
              <w:rPr>
                <w:rFonts w:ascii="Arial" w:hAnsi="Arial" w:cs="Arial"/>
                <w:sz w:val="18"/>
                <w:szCs w:val="18"/>
              </w:rPr>
              <w:t xml:space="preserve">). Not all program components were offered at each visit. Mobility was offered three times per day and </w:t>
            </w:r>
            <w:r w:rsidRPr="009E4AD5">
              <w:rPr>
                <w:rFonts w:ascii="Arial" w:hAnsi="Arial" w:cs="Arial"/>
                <w:sz w:val="18"/>
                <w:szCs w:val="18"/>
              </w:rPr>
              <w:t>environmental modifications to prevent cognitive deprivati</w:t>
            </w:r>
            <w:r>
              <w:rPr>
                <w:rFonts w:ascii="Arial" w:hAnsi="Arial" w:cs="Arial"/>
                <w:sz w:val="18"/>
                <w:szCs w:val="18"/>
              </w:rPr>
              <w:t xml:space="preserve">on </w:t>
            </w:r>
            <w:r>
              <w:rPr>
                <w:rFonts w:ascii="Arial" w:hAnsi="Arial" w:cs="Arial"/>
                <w:sz w:val="18"/>
                <w:szCs w:val="18"/>
              </w:rPr>
              <w:t>were</w:t>
            </w:r>
            <w:r>
              <w:rPr>
                <w:rFonts w:ascii="Arial" w:hAnsi="Arial" w:cs="Arial"/>
                <w:sz w:val="18"/>
                <w:szCs w:val="18"/>
              </w:rPr>
              <w:t xml:space="preserve"> offered twice per day. The remaining components were offered once per day. </w:t>
            </w:r>
          </w:p>
        </w:tc>
        <w:tc>
          <w:tcPr>
            <w:tcW w:w="0" w:type="auto"/>
          </w:tcPr>
          <w:p w14:paraId="21D23EAB" w14:textId="77777777" w:rsidR="009C5955" w:rsidRPr="00100C6F" w:rsidRDefault="009C5955" w:rsidP="00182AD2">
            <w:pPr>
              <w:pStyle w:val="Bibliography"/>
              <w:spacing w:after="120"/>
              <w:rPr>
                <w:rFonts w:ascii="Arial" w:hAnsi="Arial" w:cs="Arial"/>
                <w:sz w:val="18"/>
                <w:szCs w:val="18"/>
              </w:rPr>
            </w:pPr>
            <w:r>
              <w:rPr>
                <w:rFonts w:ascii="Arial" w:hAnsi="Arial" w:cs="Arial"/>
                <w:sz w:val="18"/>
                <w:szCs w:val="18"/>
              </w:rPr>
              <w:t>F</w:t>
            </w:r>
            <w:r w:rsidRPr="00100C6F">
              <w:rPr>
                <w:rFonts w:ascii="Arial" w:hAnsi="Arial" w:cs="Arial"/>
                <w:sz w:val="18"/>
                <w:szCs w:val="18"/>
              </w:rPr>
              <w:t xml:space="preserve">ive </w:t>
            </w:r>
            <w:r>
              <w:rPr>
                <w:rFonts w:ascii="Arial" w:hAnsi="Arial" w:cs="Arial"/>
                <w:sz w:val="18"/>
                <w:szCs w:val="18"/>
              </w:rPr>
              <w:t xml:space="preserve">structured </w:t>
            </w:r>
            <w:r w:rsidRPr="00100C6F">
              <w:rPr>
                <w:rFonts w:ascii="Arial" w:hAnsi="Arial" w:cs="Arial"/>
                <w:sz w:val="18"/>
                <w:szCs w:val="18"/>
              </w:rPr>
              <w:t>home visits at 48</w:t>
            </w:r>
            <w:r>
              <w:rPr>
                <w:rFonts w:ascii="Arial" w:hAnsi="Arial" w:cs="Arial"/>
                <w:sz w:val="18"/>
                <w:szCs w:val="18"/>
              </w:rPr>
              <w:t xml:space="preserve"> </w:t>
            </w:r>
            <w:r w:rsidRPr="00100C6F">
              <w:rPr>
                <w:rFonts w:ascii="Arial" w:hAnsi="Arial" w:cs="Arial"/>
                <w:sz w:val="18"/>
                <w:szCs w:val="18"/>
              </w:rPr>
              <w:t>h</w:t>
            </w:r>
            <w:r>
              <w:rPr>
                <w:rFonts w:ascii="Arial" w:hAnsi="Arial" w:cs="Arial"/>
                <w:sz w:val="18"/>
                <w:szCs w:val="18"/>
              </w:rPr>
              <w:t>ours</w:t>
            </w:r>
            <w:r w:rsidRPr="00100C6F">
              <w:rPr>
                <w:rFonts w:ascii="Arial" w:hAnsi="Arial" w:cs="Arial"/>
                <w:sz w:val="18"/>
                <w:szCs w:val="18"/>
              </w:rPr>
              <w:t>, 72</w:t>
            </w:r>
            <w:r>
              <w:rPr>
                <w:rFonts w:ascii="Arial" w:hAnsi="Arial" w:cs="Arial"/>
                <w:sz w:val="18"/>
                <w:szCs w:val="18"/>
              </w:rPr>
              <w:t xml:space="preserve"> </w:t>
            </w:r>
            <w:r w:rsidRPr="00100C6F">
              <w:rPr>
                <w:rFonts w:ascii="Arial" w:hAnsi="Arial" w:cs="Arial"/>
                <w:sz w:val="18"/>
                <w:szCs w:val="18"/>
              </w:rPr>
              <w:t>h</w:t>
            </w:r>
            <w:r>
              <w:rPr>
                <w:rFonts w:ascii="Arial" w:hAnsi="Arial" w:cs="Arial"/>
                <w:sz w:val="18"/>
                <w:szCs w:val="18"/>
              </w:rPr>
              <w:t>ours</w:t>
            </w:r>
            <w:r w:rsidRPr="00100C6F">
              <w:rPr>
                <w:rFonts w:ascii="Arial" w:hAnsi="Arial" w:cs="Arial"/>
                <w:sz w:val="18"/>
                <w:szCs w:val="18"/>
              </w:rPr>
              <w:t>, 7, 14, 21 days post-hospital discharge, lasting 30</w:t>
            </w:r>
            <w:r>
              <w:rPr>
                <w:rFonts w:ascii="Arial" w:hAnsi="Arial" w:cs="Arial"/>
                <w:sz w:val="18"/>
                <w:szCs w:val="18"/>
              </w:rPr>
              <w:t>-</w:t>
            </w:r>
            <w:r w:rsidRPr="00100C6F">
              <w:rPr>
                <w:rFonts w:ascii="Arial" w:hAnsi="Arial" w:cs="Arial"/>
                <w:sz w:val="18"/>
                <w:szCs w:val="18"/>
              </w:rPr>
              <w:t xml:space="preserve">60 minutes </w:t>
            </w:r>
            <w:r>
              <w:rPr>
                <w:rFonts w:ascii="Arial" w:hAnsi="Arial" w:cs="Arial"/>
                <w:sz w:val="18"/>
                <w:szCs w:val="18"/>
              </w:rPr>
              <w:t xml:space="preserve">per session </w:t>
            </w:r>
            <w:r w:rsidRPr="00100C6F">
              <w:rPr>
                <w:rFonts w:ascii="Arial" w:hAnsi="Arial" w:cs="Arial"/>
                <w:sz w:val="18"/>
                <w:szCs w:val="18"/>
              </w:rPr>
              <w:t>(91% completed full schedule)</w:t>
            </w:r>
          </w:p>
        </w:tc>
      </w:tr>
      <w:tr w:rsidR="009C5955" w:rsidRPr="00423A86" w14:paraId="045C5A17" w14:textId="77777777" w:rsidTr="00182AD2">
        <w:tc>
          <w:tcPr>
            <w:tcW w:w="0" w:type="auto"/>
          </w:tcPr>
          <w:p w14:paraId="33C6EB63"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b/>
                <w:bCs/>
                <w:sz w:val="18"/>
                <w:szCs w:val="18"/>
              </w:rPr>
              <w:t>9. Tailoring</w:t>
            </w:r>
          </w:p>
        </w:tc>
        <w:tc>
          <w:tcPr>
            <w:tcW w:w="0" w:type="auto"/>
          </w:tcPr>
          <w:p w14:paraId="71411073" w14:textId="77777777" w:rsidR="009C5955" w:rsidRPr="00100C6F" w:rsidRDefault="009C5955" w:rsidP="00182AD2">
            <w:pPr>
              <w:pStyle w:val="Bibliography"/>
              <w:spacing w:after="120"/>
              <w:rPr>
                <w:rFonts w:ascii="Arial" w:hAnsi="Arial" w:cs="Arial"/>
                <w:sz w:val="18"/>
                <w:szCs w:val="18"/>
              </w:rPr>
            </w:pPr>
            <w:r>
              <w:rPr>
                <w:rFonts w:ascii="Arial" w:hAnsi="Arial" w:cs="Arial"/>
                <w:sz w:val="18"/>
                <w:szCs w:val="18"/>
              </w:rPr>
              <w:t>R</w:t>
            </w:r>
            <w:r w:rsidRPr="00100C6F">
              <w:rPr>
                <w:rFonts w:ascii="Arial" w:hAnsi="Arial" w:cs="Arial"/>
                <w:sz w:val="18"/>
                <w:szCs w:val="18"/>
              </w:rPr>
              <w:t>ehabilitation plans adjusted to functional capacity.</w:t>
            </w:r>
          </w:p>
        </w:tc>
        <w:tc>
          <w:tcPr>
            <w:tcW w:w="0" w:type="auto"/>
          </w:tcPr>
          <w:p w14:paraId="682103A9" w14:textId="77777777" w:rsidR="009C5955" w:rsidRPr="00100C6F" w:rsidRDefault="009C5955" w:rsidP="00182AD2">
            <w:pPr>
              <w:pStyle w:val="Bibliography"/>
              <w:spacing w:after="120"/>
              <w:rPr>
                <w:rFonts w:ascii="Arial" w:hAnsi="Arial" w:cs="Arial"/>
                <w:sz w:val="18"/>
                <w:szCs w:val="18"/>
              </w:rPr>
            </w:pPr>
            <w:r>
              <w:rPr>
                <w:rFonts w:ascii="Arial" w:hAnsi="Arial" w:cs="Arial"/>
                <w:sz w:val="18"/>
                <w:szCs w:val="18"/>
              </w:rPr>
              <w:t>P</w:t>
            </w:r>
            <w:r w:rsidRPr="00100C6F">
              <w:rPr>
                <w:rFonts w:ascii="Arial" w:hAnsi="Arial" w:cs="Arial"/>
                <w:sz w:val="18"/>
                <w:szCs w:val="18"/>
              </w:rPr>
              <w:t>lans adapted to each patient’s functional, nutritional, and cognitive status.</w:t>
            </w:r>
          </w:p>
        </w:tc>
        <w:tc>
          <w:tcPr>
            <w:tcW w:w="0" w:type="auto"/>
          </w:tcPr>
          <w:p w14:paraId="55965C36"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t xml:space="preserve">Each visit was </w:t>
            </w:r>
            <w:proofErr w:type="spellStart"/>
            <w:r w:rsidRPr="00100C6F">
              <w:rPr>
                <w:rFonts w:ascii="Arial" w:hAnsi="Arial" w:cs="Arial"/>
                <w:sz w:val="18"/>
                <w:szCs w:val="18"/>
              </w:rPr>
              <w:t>personalised</w:t>
            </w:r>
            <w:proofErr w:type="spellEnd"/>
            <w:r w:rsidRPr="00100C6F">
              <w:rPr>
                <w:rFonts w:ascii="Arial" w:hAnsi="Arial" w:cs="Arial"/>
                <w:sz w:val="18"/>
                <w:szCs w:val="18"/>
              </w:rPr>
              <w:t xml:space="preserve"> to participant risk profile (hydration, sleep, pain, nutrition). The user guide </w:t>
            </w:r>
            <w:proofErr w:type="spellStart"/>
            <w:r w:rsidRPr="00100C6F">
              <w:rPr>
                <w:rFonts w:ascii="Arial" w:hAnsi="Arial" w:cs="Arial"/>
                <w:sz w:val="18"/>
                <w:szCs w:val="18"/>
              </w:rPr>
              <w:t>standardised</w:t>
            </w:r>
            <w:proofErr w:type="spellEnd"/>
            <w:r w:rsidRPr="00100C6F">
              <w:rPr>
                <w:rFonts w:ascii="Arial" w:hAnsi="Arial" w:cs="Arial"/>
                <w:sz w:val="18"/>
                <w:szCs w:val="18"/>
              </w:rPr>
              <w:t xml:space="preserve"> delivery while allowing individual adaptation.</w:t>
            </w:r>
          </w:p>
        </w:tc>
      </w:tr>
      <w:tr w:rsidR="009C5955" w:rsidRPr="00423A86" w14:paraId="3C0CA388" w14:textId="77777777" w:rsidTr="00182AD2">
        <w:tc>
          <w:tcPr>
            <w:tcW w:w="0" w:type="auto"/>
          </w:tcPr>
          <w:p w14:paraId="65F8C8FE"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b/>
                <w:bCs/>
                <w:sz w:val="18"/>
                <w:szCs w:val="18"/>
              </w:rPr>
              <w:t>10. Modifications</w:t>
            </w:r>
          </w:p>
        </w:tc>
        <w:tc>
          <w:tcPr>
            <w:tcW w:w="0" w:type="auto"/>
          </w:tcPr>
          <w:p w14:paraId="1443B1A9"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t>None reported.</w:t>
            </w:r>
          </w:p>
        </w:tc>
        <w:tc>
          <w:tcPr>
            <w:tcW w:w="0" w:type="auto"/>
          </w:tcPr>
          <w:p w14:paraId="04035DC4"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t>None reported.</w:t>
            </w:r>
          </w:p>
        </w:tc>
        <w:tc>
          <w:tcPr>
            <w:tcW w:w="0" w:type="auto"/>
          </w:tcPr>
          <w:p w14:paraId="1030D29E"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t>No modifications during trial; intervention refined during pretesting with five participants to ensure feasibility and clarity.</w:t>
            </w:r>
          </w:p>
        </w:tc>
      </w:tr>
      <w:tr w:rsidR="009C5955" w:rsidRPr="00423A86" w14:paraId="0FB2C95E" w14:textId="77777777" w:rsidTr="00182AD2">
        <w:tc>
          <w:tcPr>
            <w:tcW w:w="0" w:type="auto"/>
          </w:tcPr>
          <w:p w14:paraId="4BEA71B8"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b/>
                <w:bCs/>
                <w:sz w:val="18"/>
                <w:szCs w:val="18"/>
              </w:rPr>
              <w:t>11. How Well (Planned Fidelity)</w:t>
            </w:r>
          </w:p>
        </w:tc>
        <w:tc>
          <w:tcPr>
            <w:tcW w:w="0" w:type="auto"/>
          </w:tcPr>
          <w:p w14:paraId="7C198D76"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t xml:space="preserve">Fidelity was supported through assessor training, inter-rater reliability testing, and use of validated instruments (CAM, FIM, </w:t>
            </w:r>
            <w:r w:rsidRPr="00100C6F">
              <w:rPr>
                <w:rFonts w:ascii="Arial" w:hAnsi="Arial" w:cs="Arial"/>
                <w:sz w:val="18"/>
                <w:szCs w:val="18"/>
              </w:rPr>
              <w:lastRenderedPageBreak/>
              <w:t>MMSE, GDS). The CAM was administered every second day to ensure consistent monitoring. Assessors were blinded at baseline but unblinded thereafter due to treatment setting. Ethical oversight and a stakeholder committee maintained trial quality and procedural fidelity.</w:t>
            </w:r>
          </w:p>
        </w:tc>
        <w:tc>
          <w:tcPr>
            <w:tcW w:w="0" w:type="auto"/>
          </w:tcPr>
          <w:p w14:paraId="7B54DE1A" w14:textId="19D84165"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lastRenderedPageBreak/>
              <w:t xml:space="preserve">Fidelity was supported through use of </w:t>
            </w:r>
            <w:proofErr w:type="spellStart"/>
            <w:r w:rsidRPr="00100C6F">
              <w:rPr>
                <w:rFonts w:ascii="Arial" w:hAnsi="Arial" w:cs="Arial"/>
                <w:sz w:val="18"/>
                <w:szCs w:val="18"/>
              </w:rPr>
              <w:t>standardised</w:t>
            </w:r>
            <w:proofErr w:type="spellEnd"/>
            <w:r w:rsidRPr="00100C6F">
              <w:rPr>
                <w:rFonts w:ascii="Arial" w:hAnsi="Arial" w:cs="Arial"/>
                <w:sz w:val="18"/>
                <w:szCs w:val="18"/>
              </w:rPr>
              <w:t xml:space="preserve"> and validated instruments (CAM, MMSE, DRS, ADL/IADL, MNA, GDS), </w:t>
            </w:r>
            <w:r w:rsidRPr="00100C6F">
              <w:rPr>
                <w:rFonts w:ascii="Arial" w:hAnsi="Arial" w:cs="Arial"/>
                <w:sz w:val="18"/>
                <w:szCs w:val="18"/>
              </w:rPr>
              <w:lastRenderedPageBreak/>
              <w:t xml:space="preserve">systematic 48-hour reassessments, and data collection by experienced physicians (≥5 years’ experience in research interviews) uninvolved in the intervention. Ethical approval and informed consent procedures reinforced methodological </w:t>
            </w:r>
            <w:proofErr w:type="spellStart"/>
            <w:r w:rsidRPr="00100C6F">
              <w:rPr>
                <w:rFonts w:ascii="Arial" w:hAnsi="Arial" w:cs="Arial"/>
                <w:sz w:val="18"/>
                <w:szCs w:val="18"/>
              </w:rPr>
              <w:t>rigour</w:t>
            </w:r>
            <w:proofErr w:type="spellEnd"/>
            <w:r w:rsidRPr="00100C6F">
              <w:rPr>
                <w:rFonts w:ascii="Arial" w:hAnsi="Arial" w:cs="Arial"/>
                <w:sz w:val="18"/>
                <w:szCs w:val="18"/>
              </w:rPr>
              <w:t>. Although assessors were unaware of study aims, they were not blinded to treatment setting, introducing a potential source of bias.</w:t>
            </w:r>
          </w:p>
        </w:tc>
        <w:tc>
          <w:tcPr>
            <w:tcW w:w="0" w:type="auto"/>
          </w:tcPr>
          <w:p w14:paraId="01D97D91" w14:textId="3EE73369"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lastRenderedPageBreak/>
              <w:t xml:space="preserve">Fidelity was ensured through a structured user guide, expert-reviewed and pre-tested protocols, targeted training of the GCN, and </w:t>
            </w:r>
            <w:r w:rsidRPr="00100C6F">
              <w:rPr>
                <w:rFonts w:ascii="Arial" w:hAnsi="Arial" w:cs="Arial"/>
                <w:sz w:val="18"/>
                <w:szCs w:val="18"/>
              </w:rPr>
              <w:lastRenderedPageBreak/>
              <w:t xml:space="preserve">ongoing supervision by the </w:t>
            </w:r>
            <w:r>
              <w:rPr>
                <w:rFonts w:ascii="Arial" w:hAnsi="Arial" w:cs="Arial"/>
                <w:sz w:val="18"/>
                <w:szCs w:val="18"/>
              </w:rPr>
              <w:t>principal investigator (P</w:t>
            </w:r>
            <w:r w:rsidRPr="00100C6F">
              <w:rPr>
                <w:rFonts w:ascii="Arial" w:hAnsi="Arial" w:cs="Arial"/>
                <w:sz w:val="18"/>
                <w:szCs w:val="18"/>
              </w:rPr>
              <w:t>I</w:t>
            </w:r>
            <w:r>
              <w:rPr>
                <w:rFonts w:ascii="Arial" w:hAnsi="Arial" w:cs="Arial"/>
                <w:sz w:val="18"/>
                <w:szCs w:val="18"/>
              </w:rPr>
              <w:t>)</w:t>
            </w:r>
            <w:r w:rsidRPr="00100C6F">
              <w:rPr>
                <w:rFonts w:ascii="Arial" w:hAnsi="Arial" w:cs="Arial"/>
                <w:sz w:val="18"/>
                <w:szCs w:val="18"/>
              </w:rPr>
              <w:t xml:space="preserve">. Inter-rater reliability between the PI and GCN was high across outcome measures (CAM κ = 0.79; ADL/IADL κ = 0.85; MMSE ICC = 0.92). Both the PI and GCN were blinded to group allocation and prior assessment results to </w:t>
            </w:r>
            <w:proofErr w:type="spellStart"/>
            <w:r w:rsidRPr="00100C6F">
              <w:rPr>
                <w:rFonts w:ascii="Arial" w:hAnsi="Arial" w:cs="Arial"/>
                <w:sz w:val="18"/>
                <w:szCs w:val="18"/>
              </w:rPr>
              <w:t>minimise</w:t>
            </w:r>
            <w:proofErr w:type="spellEnd"/>
            <w:r w:rsidRPr="00100C6F">
              <w:rPr>
                <w:rFonts w:ascii="Arial" w:hAnsi="Arial" w:cs="Arial"/>
                <w:sz w:val="18"/>
                <w:szCs w:val="18"/>
              </w:rPr>
              <w:t xml:space="preserve"> measurement bias.</w:t>
            </w:r>
          </w:p>
        </w:tc>
      </w:tr>
      <w:tr w:rsidR="009C5955" w:rsidRPr="00423A86" w14:paraId="5A54E4EA" w14:textId="77777777" w:rsidTr="00182AD2">
        <w:tc>
          <w:tcPr>
            <w:tcW w:w="0" w:type="auto"/>
          </w:tcPr>
          <w:p w14:paraId="58E3DCA3" w14:textId="77777777" w:rsidR="009C5955" w:rsidRPr="00100C6F" w:rsidRDefault="009C5955" w:rsidP="00182AD2">
            <w:pPr>
              <w:pStyle w:val="Bibliography"/>
              <w:spacing w:after="120"/>
              <w:rPr>
                <w:rFonts w:ascii="Arial" w:hAnsi="Arial" w:cs="Arial"/>
                <w:sz w:val="18"/>
                <w:szCs w:val="18"/>
              </w:rPr>
            </w:pPr>
            <w:r w:rsidRPr="00100C6F">
              <w:rPr>
                <w:rFonts w:ascii="Arial" w:hAnsi="Arial" w:cs="Arial"/>
                <w:b/>
                <w:bCs/>
                <w:sz w:val="18"/>
                <w:szCs w:val="18"/>
              </w:rPr>
              <w:lastRenderedPageBreak/>
              <w:t>12. How Well (Actual Fidelity)</w:t>
            </w:r>
          </w:p>
        </w:tc>
        <w:tc>
          <w:tcPr>
            <w:tcW w:w="0" w:type="auto"/>
          </w:tcPr>
          <w:p w14:paraId="3894409E" w14:textId="77777777" w:rsidR="009C5955" w:rsidRPr="00100C6F" w:rsidRDefault="009C5955" w:rsidP="009C5955">
            <w:pPr>
              <w:pStyle w:val="Bibliography"/>
              <w:spacing w:after="120"/>
              <w:rPr>
                <w:rFonts w:ascii="Arial" w:hAnsi="Arial" w:cs="Arial"/>
                <w:sz w:val="18"/>
                <w:szCs w:val="18"/>
              </w:rPr>
            </w:pPr>
            <w:r w:rsidRPr="00100C6F">
              <w:rPr>
                <w:rFonts w:ascii="Arial" w:hAnsi="Arial" w:cs="Arial"/>
                <w:sz w:val="18"/>
                <w:szCs w:val="18"/>
              </w:rPr>
              <w:t xml:space="preserve">Adherence to </w:t>
            </w:r>
            <w:proofErr w:type="spellStart"/>
            <w:r>
              <w:rPr>
                <w:rFonts w:ascii="Arial" w:hAnsi="Arial" w:cs="Arial"/>
                <w:sz w:val="18"/>
                <w:szCs w:val="18"/>
              </w:rPr>
              <w:t>HitH</w:t>
            </w:r>
            <w:proofErr w:type="spellEnd"/>
            <w:r w:rsidRPr="00100C6F">
              <w:rPr>
                <w:rFonts w:ascii="Arial" w:hAnsi="Arial" w:cs="Arial"/>
                <w:sz w:val="18"/>
                <w:szCs w:val="18"/>
              </w:rPr>
              <w:t xml:space="preserve"> was confirmed via daily logs and multidisciplinary coordination. </w:t>
            </w:r>
            <w:proofErr w:type="spellStart"/>
            <w:r w:rsidRPr="00100C6F">
              <w:rPr>
                <w:rFonts w:ascii="Arial" w:hAnsi="Arial" w:cs="Arial"/>
                <w:sz w:val="18"/>
                <w:szCs w:val="18"/>
              </w:rPr>
              <w:t>HitH</w:t>
            </w:r>
            <w:proofErr w:type="spellEnd"/>
            <w:r w:rsidRPr="00100C6F">
              <w:rPr>
                <w:rFonts w:ascii="Arial" w:hAnsi="Arial" w:cs="Arial"/>
                <w:sz w:val="18"/>
                <w:szCs w:val="18"/>
              </w:rPr>
              <w:t xml:space="preserve"> maintained prescribed staffing ratios and included all planned</w:t>
            </w:r>
            <w:r>
              <w:rPr>
                <w:rFonts w:ascii="Arial" w:hAnsi="Arial" w:cs="Arial"/>
                <w:sz w:val="18"/>
                <w:szCs w:val="18"/>
              </w:rPr>
              <w:t xml:space="preserve"> daily sessions</w:t>
            </w:r>
            <w:r w:rsidRPr="00100C6F">
              <w:rPr>
                <w:rFonts w:ascii="Arial" w:hAnsi="Arial" w:cs="Arial"/>
                <w:sz w:val="18"/>
                <w:szCs w:val="18"/>
              </w:rPr>
              <w:t>. The CAM was administered every sec</w:t>
            </w:r>
            <w:r>
              <w:rPr>
                <w:rFonts w:ascii="Arial" w:hAnsi="Arial" w:cs="Arial"/>
                <w:sz w:val="18"/>
                <w:szCs w:val="18"/>
              </w:rPr>
              <w:t>ond day</w:t>
            </w:r>
            <w:r w:rsidRPr="00100C6F">
              <w:rPr>
                <w:rFonts w:ascii="Arial" w:hAnsi="Arial" w:cs="Arial"/>
                <w:sz w:val="18"/>
                <w:szCs w:val="18"/>
              </w:rPr>
              <w:t>, demonstrating protocol consistency.</w:t>
            </w:r>
          </w:p>
        </w:tc>
        <w:tc>
          <w:tcPr>
            <w:tcW w:w="0" w:type="auto"/>
          </w:tcPr>
          <w:p w14:paraId="2A7FBA5A" w14:textId="77777777" w:rsidR="009C5955" w:rsidRDefault="009C5955" w:rsidP="00182AD2">
            <w:pPr>
              <w:pStyle w:val="Bibliography"/>
              <w:spacing w:after="120"/>
              <w:rPr>
                <w:rFonts w:ascii="Arial" w:hAnsi="Arial" w:cs="Arial"/>
                <w:sz w:val="18"/>
                <w:szCs w:val="18"/>
              </w:rPr>
            </w:pPr>
            <w:r w:rsidRPr="00100C6F">
              <w:rPr>
                <w:rFonts w:ascii="Arial" w:hAnsi="Arial" w:cs="Arial"/>
                <w:sz w:val="18"/>
                <w:szCs w:val="18"/>
              </w:rPr>
              <w:t xml:space="preserve">Standardised assessments were consistently implemented. Non-pharmacological delirium-prevention protocols were applied. </w:t>
            </w:r>
          </w:p>
          <w:p w14:paraId="011CD715" w14:textId="77777777" w:rsidR="009C5955" w:rsidRPr="0047274F" w:rsidRDefault="009C5955" w:rsidP="00182AD2">
            <w:pPr>
              <w:pStyle w:val="Bibliography"/>
              <w:spacing w:after="120"/>
              <w:rPr>
                <w:rFonts w:ascii="Arial" w:hAnsi="Arial" w:cs="Arial"/>
                <w:sz w:val="18"/>
                <w:szCs w:val="18"/>
              </w:rPr>
            </w:pPr>
            <w:r w:rsidRPr="00100C6F">
              <w:rPr>
                <w:rFonts w:ascii="Arial" w:hAnsi="Arial" w:cs="Arial"/>
                <w:sz w:val="18"/>
                <w:szCs w:val="18"/>
              </w:rPr>
              <w:t>All planned follow-ups were completed with systematic outcome measurement.</w:t>
            </w:r>
          </w:p>
        </w:tc>
        <w:tc>
          <w:tcPr>
            <w:tcW w:w="0" w:type="auto"/>
          </w:tcPr>
          <w:p w14:paraId="4A73DF93" w14:textId="746E5348" w:rsidR="009C5955" w:rsidRPr="00100C6F" w:rsidRDefault="009C5955" w:rsidP="00182AD2">
            <w:pPr>
              <w:pStyle w:val="Bibliography"/>
              <w:spacing w:after="120"/>
              <w:rPr>
                <w:rFonts w:ascii="Arial" w:hAnsi="Arial" w:cs="Arial"/>
                <w:sz w:val="18"/>
                <w:szCs w:val="18"/>
              </w:rPr>
            </w:pPr>
            <w:r w:rsidRPr="00100C6F">
              <w:rPr>
                <w:rFonts w:ascii="Arial" w:hAnsi="Arial" w:cs="Arial"/>
                <w:sz w:val="18"/>
                <w:szCs w:val="18"/>
              </w:rPr>
              <w:t>All participants in the nurse-led arm received the full sequence of five structured home visits within one month. A total of 244 patient-</w:t>
            </w:r>
            <w:proofErr w:type="spellStart"/>
            <w:r w:rsidRPr="00100C6F">
              <w:rPr>
                <w:rFonts w:ascii="Arial" w:hAnsi="Arial" w:cs="Arial"/>
                <w:sz w:val="18"/>
                <w:szCs w:val="18"/>
              </w:rPr>
              <w:t>centred</w:t>
            </w:r>
            <w:proofErr w:type="spellEnd"/>
            <w:r w:rsidRPr="00100C6F">
              <w:rPr>
                <w:rFonts w:ascii="Arial" w:hAnsi="Arial" w:cs="Arial"/>
                <w:sz w:val="18"/>
                <w:szCs w:val="18"/>
              </w:rPr>
              <w:t xml:space="preserve"> interventions were delivered to 51 participants (mean 5 interventions each). Each visit followed 15 </w:t>
            </w:r>
            <w:proofErr w:type="spellStart"/>
            <w:r w:rsidRPr="00100C6F">
              <w:rPr>
                <w:rFonts w:ascii="Arial" w:hAnsi="Arial" w:cs="Arial"/>
                <w:sz w:val="18"/>
                <w:szCs w:val="18"/>
              </w:rPr>
              <w:t>standardised</w:t>
            </w:r>
            <w:proofErr w:type="spellEnd"/>
            <w:r w:rsidRPr="00100C6F">
              <w:rPr>
                <w:rFonts w:ascii="Arial" w:hAnsi="Arial" w:cs="Arial"/>
                <w:sz w:val="18"/>
                <w:szCs w:val="18"/>
              </w:rPr>
              <w:t xml:space="preserve"> nursing protocols, verified via nurse logs and PI supervision. Intervention durations (5–180 min</w:t>
            </w:r>
            <w:r>
              <w:rPr>
                <w:rFonts w:ascii="Arial" w:hAnsi="Arial" w:cs="Arial"/>
                <w:sz w:val="18"/>
                <w:szCs w:val="18"/>
              </w:rPr>
              <w:t>utes</w:t>
            </w:r>
            <w:r w:rsidRPr="00100C6F">
              <w:rPr>
                <w:rFonts w:ascii="Arial" w:hAnsi="Arial" w:cs="Arial"/>
                <w:sz w:val="18"/>
                <w:szCs w:val="18"/>
              </w:rPr>
              <w:t>) were documented, and fidelity monitoring occurred throughout. Inter-rater agreement data (CAM κ = 0.79; MMSE ICC = 0.92; ADL/IADL κ = 0.85) confirmed adherence to assessment protocols. Participant adherence was strong, with low attrition and high acceptability at 1-month follow-up.</w:t>
            </w:r>
          </w:p>
        </w:tc>
      </w:tr>
      <w:tr w:rsidR="009C5955" w:rsidRPr="00423A86" w14:paraId="4727A491" w14:textId="77777777" w:rsidTr="001E338B">
        <w:tc>
          <w:tcPr>
            <w:tcW w:w="0" w:type="auto"/>
            <w:gridSpan w:val="4"/>
          </w:tcPr>
          <w:p w14:paraId="07A45A44" w14:textId="0527D172" w:rsidR="009C5955" w:rsidRPr="00100C6F" w:rsidRDefault="009C5955" w:rsidP="00182AD2">
            <w:pPr>
              <w:pStyle w:val="Bibliography"/>
              <w:spacing w:after="120"/>
              <w:rPr>
                <w:rFonts w:ascii="Arial" w:hAnsi="Arial" w:cs="Arial"/>
                <w:sz w:val="18"/>
                <w:szCs w:val="18"/>
              </w:rPr>
            </w:pPr>
            <w:r>
              <w:rPr>
                <w:rFonts w:ascii="Arial" w:hAnsi="Arial" w:cs="Arial"/>
                <w:sz w:val="18"/>
                <w:szCs w:val="18"/>
              </w:rPr>
              <w:t>N</w:t>
            </w:r>
            <w:r w:rsidR="00AD7877">
              <w:rPr>
                <w:rFonts w:ascii="Arial" w:hAnsi="Arial" w:cs="Arial"/>
                <w:sz w:val="18"/>
                <w:szCs w:val="18"/>
              </w:rPr>
              <w:t>b</w:t>
            </w:r>
            <w:r>
              <w:rPr>
                <w:rFonts w:ascii="Arial" w:hAnsi="Arial" w:cs="Arial"/>
                <w:sz w:val="18"/>
                <w:szCs w:val="18"/>
              </w:rPr>
              <w:t xml:space="preserve">: </w:t>
            </w:r>
            <w:r w:rsidRPr="009C5955">
              <w:rPr>
                <w:rFonts w:ascii="Arial" w:hAnsi="Arial" w:cs="Arial"/>
                <w:sz w:val="18"/>
                <w:szCs w:val="18"/>
              </w:rPr>
              <w:t>ADL</w:t>
            </w:r>
            <w:r>
              <w:rPr>
                <w:rFonts w:ascii="Arial" w:hAnsi="Arial" w:cs="Arial"/>
                <w:sz w:val="18"/>
                <w:szCs w:val="18"/>
              </w:rPr>
              <w:t xml:space="preserve"> – Activities of Daily Living; CAM – Confusions Assessment Method; </w:t>
            </w:r>
            <w:r w:rsidR="004C7D09">
              <w:rPr>
                <w:rFonts w:ascii="Arial" w:hAnsi="Arial" w:cs="Arial"/>
                <w:sz w:val="18"/>
                <w:szCs w:val="18"/>
              </w:rPr>
              <w:t xml:space="preserve">DRS – Delirium Rating Scale; </w:t>
            </w:r>
            <w:r>
              <w:rPr>
                <w:rFonts w:ascii="Arial" w:hAnsi="Arial" w:cs="Arial"/>
                <w:sz w:val="18"/>
                <w:szCs w:val="18"/>
              </w:rPr>
              <w:t xml:space="preserve">FIM – Functional </w:t>
            </w:r>
            <w:proofErr w:type="spellStart"/>
            <w:r>
              <w:rPr>
                <w:rFonts w:ascii="Arial" w:hAnsi="Arial" w:cs="Arial"/>
                <w:sz w:val="18"/>
                <w:szCs w:val="18"/>
              </w:rPr>
              <w:t>Indepenadnce</w:t>
            </w:r>
            <w:proofErr w:type="spellEnd"/>
            <w:r>
              <w:rPr>
                <w:rFonts w:ascii="Arial" w:hAnsi="Arial" w:cs="Arial"/>
                <w:sz w:val="18"/>
                <w:szCs w:val="18"/>
              </w:rPr>
              <w:t xml:space="preserve"> Measure; </w:t>
            </w:r>
            <w:r w:rsidRPr="009C5955">
              <w:rPr>
                <w:rFonts w:ascii="Arial" w:hAnsi="Arial" w:cs="Arial"/>
                <w:sz w:val="18"/>
                <w:szCs w:val="18"/>
              </w:rPr>
              <w:t>GCN</w:t>
            </w:r>
            <w:r w:rsidRPr="009C5955">
              <w:rPr>
                <w:rFonts w:ascii="Arial" w:hAnsi="Arial" w:cs="Arial"/>
                <w:sz w:val="18"/>
                <w:szCs w:val="18"/>
              </w:rPr>
              <w:t xml:space="preserve"> </w:t>
            </w:r>
            <w:r>
              <w:rPr>
                <w:rFonts w:ascii="Arial" w:hAnsi="Arial" w:cs="Arial"/>
                <w:sz w:val="18"/>
                <w:szCs w:val="18"/>
              </w:rPr>
              <w:t xml:space="preserve">- </w:t>
            </w:r>
            <w:r w:rsidRPr="009C5955">
              <w:rPr>
                <w:rFonts w:ascii="Arial" w:hAnsi="Arial" w:cs="Arial"/>
                <w:sz w:val="18"/>
                <w:szCs w:val="18"/>
              </w:rPr>
              <w:t>geriatric clinical nurse</w:t>
            </w:r>
            <w:r>
              <w:rPr>
                <w:rFonts w:ascii="Arial" w:hAnsi="Arial" w:cs="Arial"/>
                <w:sz w:val="18"/>
                <w:szCs w:val="18"/>
              </w:rPr>
              <w:t xml:space="preserve">; </w:t>
            </w:r>
            <w:r w:rsidR="004C7D09">
              <w:rPr>
                <w:rFonts w:ascii="Arial" w:hAnsi="Arial" w:cs="Arial"/>
                <w:sz w:val="18"/>
                <w:szCs w:val="18"/>
              </w:rPr>
              <w:t xml:space="preserve">GDS – Geriatric Depression Scale; </w:t>
            </w:r>
            <w:r>
              <w:rPr>
                <w:rFonts w:ascii="Arial" w:hAnsi="Arial" w:cs="Arial"/>
                <w:sz w:val="18"/>
                <w:szCs w:val="18"/>
              </w:rPr>
              <w:t xml:space="preserve">GHHS – </w:t>
            </w:r>
            <w:r w:rsidRPr="009C5955">
              <w:rPr>
                <w:rFonts w:ascii="Arial" w:hAnsi="Arial" w:cs="Arial"/>
                <w:sz w:val="18"/>
                <w:szCs w:val="18"/>
              </w:rPr>
              <w:t xml:space="preserve">Geriatric Home </w:t>
            </w:r>
            <w:proofErr w:type="spellStart"/>
            <w:r w:rsidRPr="009C5955">
              <w:rPr>
                <w:rFonts w:ascii="Arial" w:hAnsi="Arial" w:cs="Arial"/>
                <w:sz w:val="18"/>
                <w:szCs w:val="18"/>
              </w:rPr>
              <w:t>Hospitalisation</w:t>
            </w:r>
            <w:proofErr w:type="spellEnd"/>
            <w:r w:rsidRPr="009C5955">
              <w:rPr>
                <w:rFonts w:ascii="Arial" w:hAnsi="Arial" w:cs="Arial"/>
                <w:sz w:val="18"/>
                <w:szCs w:val="18"/>
              </w:rPr>
              <w:t xml:space="preserve"> Service</w:t>
            </w:r>
            <w:r>
              <w:rPr>
                <w:rFonts w:ascii="Arial" w:hAnsi="Arial" w:cs="Arial"/>
                <w:sz w:val="18"/>
                <w:szCs w:val="18"/>
              </w:rPr>
              <w:t xml:space="preserve">; </w:t>
            </w:r>
            <w:r>
              <w:rPr>
                <w:rFonts w:ascii="Arial" w:hAnsi="Arial" w:cs="Arial"/>
                <w:sz w:val="18"/>
                <w:szCs w:val="18"/>
              </w:rPr>
              <w:t xml:space="preserve">GP – general practitioner; </w:t>
            </w:r>
            <w:proofErr w:type="spellStart"/>
            <w:r>
              <w:rPr>
                <w:rFonts w:ascii="Arial" w:hAnsi="Arial" w:cs="Arial"/>
                <w:sz w:val="18"/>
                <w:szCs w:val="18"/>
              </w:rPr>
              <w:t>HitH</w:t>
            </w:r>
            <w:proofErr w:type="spellEnd"/>
            <w:r>
              <w:rPr>
                <w:rFonts w:ascii="Arial" w:hAnsi="Arial" w:cs="Arial"/>
                <w:sz w:val="18"/>
                <w:szCs w:val="18"/>
              </w:rPr>
              <w:t xml:space="preserve"> – Hospital in the Home; IADL – </w:t>
            </w:r>
            <w:r w:rsidRPr="009C5955">
              <w:rPr>
                <w:rFonts w:ascii="Arial" w:hAnsi="Arial" w:cs="Arial"/>
                <w:sz w:val="18"/>
                <w:szCs w:val="18"/>
              </w:rPr>
              <w:t>Instrumental Activities of Daily Living</w:t>
            </w:r>
            <w:r>
              <w:rPr>
                <w:rFonts w:ascii="Arial" w:hAnsi="Arial" w:cs="Arial"/>
                <w:sz w:val="18"/>
                <w:szCs w:val="18"/>
              </w:rPr>
              <w:t xml:space="preserve">; </w:t>
            </w:r>
            <w:r w:rsidR="004C7D09">
              <w:rPr>
                <w:rFonts w:ascii="Arial" w:hAnsi="Arial" w:cs="Arial"/>
                <w:sz w:val="18"/>
                <w:szCs w:val="18"/>
              </w:rPr>
              <w:t xml:space="preserve">ICC – </w:t>
            </w:r>
            <w:r w:rsidR="004C7D09" w:rsidRPr="004C7D09">
              <w:rPr>
                <w:rFonts w:ascii="Arial" w:hAnsi="Arial" w:cs="Arial"/>
                <w:sz w:val="18"/>
                <w:szCs w:val="18"/>
              </w:rPr>
              <w:t>Intraclass Correlation Coefficient</w:t>
            </w:r>
            <w:r w:rsidR="004C7D09">
              <w:rPr>
                <w:rFonts w:ascii="Arial" w:hAnsi="Arial" w:cs="Arial"/>
                <w:sz w:val="18"/>
                <w:szCs w:val="18"/>
              </w:rPr>
              <w:t xml:space="preserve">; k – Cohen’s </w:t>
            </w:r>
            <w:proofErr w:type="spellStart"/>
            <w:r w:rsidR="004C7D09">
              <w:rPr>
                <w:rFonts w:ascii="Arial" w:hAnsi="Arial" w:cs="Arial"/>
                <w:sz w:val="18"/>
                <w:szCs w:val="18"/>
              </w:rPr>
              <w:t>kapper</w:t>
            </w:r>
            <w:proofErr w:type="spellEnd"/>
            <w:r w:rsidR="004C7D09">
              <w:rPr>
                <w:rFonts w:ascii="Arial" w:hAnsi="Arial" w:cs="Arial"/>
                <w:sz w:val="18"/>
                <w:szCs w:val="18"/>
              </w:rPr>
              <w:t xml:space="preserve">; </w:t>
            </w:r>
            <w:r>
              <w:rPr>
                <w:rFonts w:ascii="Arial" w:hAnsi="Arial" w:cs="Arial"/>
                <w:sz w:val="18"/>
                <w:szCs w:val="18"/>
              </w:rPr>
              <w:t xml:space="preserve">MMSE – Mini-mental State Examination; </w:t>
            </w:r>
            <w:r w:rsidR="004C7D09">
              <w:rPr>
                <w:rFonts w:ascii="Arial" w:hAnsi="Arial" w:cs="Arial"/>
                <w:sz w:val="18"/>
                <w:szCs w:val="18"/>
              </w:rPr>
              <w:t xml:space="preserve">MNA – Mini Nutritional Assessment; </w:t>
            </w:r>
            <w:r>
              <w:rPr>
                <w:rFonts w:ascii="Arial" w:hAnsi="Arial" w:cs="Arial"/>
                <w:sz w:val="18"/>
                <w:szCs w:val="18"/>
              </w:rPr>
              <w:t xml:space="preserve">RCT – </w:t>
            </w:r>
            <w:proofErr w:type="spellStart"/>
            <w:r>
              <w:rPr>
                <w:rFonts w:ascii="Arial" w:hAnsi="Arial" w:cs="Arial"/>
                <w:sz w:val="18"/>
                <w:szCs w:val="18"/>
              </w:rPr>
              <w:t>randomised</w:t>
            </w:r>
            <w:proofErr w:type="spellEnd"/>
            <w:r>
              <w:rPr>
                <w:rFonts w:ascii="Arial" w:hAnsi="Arial" w:cs="Arial"/>
                <w:sz w:val="18"/>
                <w:szCs w:val="18"/>
              </w:rPr>
              <w:t xml:space="preserve"> controlled trial</w:t>
            </w:r>
            <w:r w:rsidR="00AD7877">
              <w:rPr>
                <w:rFonts w:ascii="Arial" w:hAnsi="Arial" w:cs="Arial"/>
                <w:sz w:val="18"/>
                <w:szCs w:val="18"/>
              </w:rPr>
              <w:t>.</w:t>
            </w:r>
          </w:p>
        </w:tc>
      </w:tr>
    </w:tbl>
    <w:p w14:paraId="0E97E450" w14:textId="77777777" w:rsidR="00761CE0" w:rsidRDefault="00761CE0"/>
    <w:sectPr w:rsidR="00761C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955"/>
    <w:rsid w:val="00084DE8"/>
    <w:rsid w:val="003B363D"/>
    <w:rsid w:val="004C7D09"/>
    <w:rsid w:val="00761CE0"/>
    <w:rsid w:val="0082013A"/>
    <w:rsid w:val="009931E7"/>
    <w:rsid w:val="009A2F6F"/>
    <w:rsid w:val="009C5955"/>
    <w:rsid w:val="00AD78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E1D3E"/>
  <w15:chartTrackingRefBased/>
  <w15:docId w15:val="{2A7985F9-3C36-4055-9F8B-52571111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955"/>
    <w:pPr>
      <w:spacing w:after="0" w:line="360" w:lineRule="auto"/>
    </w:pPr>
    <w:rPr>
      <w:rFonts w:ascii="Times New Roman" w:eastAsia="Times New Roman" w:hAnsi="Times New Roman" w:cs="Times New Roman"/>
      <w:kern w:val="0"/>
      <w:sz w:val="24"/>
      <w:szCs w:val="24"/>
      <w:lang w:val="en-GB"/>
      <w14:ligatures w14:val="none"/>
    </w:rPr>
  </w:style>
  <w:style w:type="paragraph" w:styleId="Heading1">
    <w:name w:val="heading 1"/>
    <w:basedOn w:val="Normal"/>
    <w:next w:val="Normal"/>
    <w:link w:val="Heading1Char"/>
    <w:uiPriority w:val="9"/>
    <w:qFormat/>
    <w:rsid w:val="009C595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AU"/>
      <w14:ligatures w14:val="standardContextual"/>
    </w:rPr>
  </w:style>
  <w:style w:type="paragraph" w:styleId="Heading2">
    <w:name w:val="heading 2"/>
    <w:basedOn w:val="Normal"/>
    <w:next w:val="Normal"/>
    <w:link w:val="Heading2Char"/>
    <w:uiPriority w:val="9"/>
    <w:semiHidden/>
    <w:unhideWhenUsed/>
    <w:qFormat/>
    <w:rsid w:val="009C595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AU"/>
      <w14:ligatures w14:val="standardContextual"/>
    </w:rPr>
  </w:style>
  <w:style w:type="paragraph" w:styleId="Heading3">
    <w:name w:val="heading 3"/>
    <w:basedOn w:val="Normal"/>
    <w:next w:val="Normal"/>
    <w:link w:val="Heading3Char"/>
    <w:uiPriority w:val="9"/>
    <w:semiHidden/>
    <w:unhideWhenUsed/>
    <w:qFormat/>
    <w:rsid w:val="009C595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n-AU"/>
      <w14:ligatures w14:val="standardContextual"/>
    </w:rPr>
  </w:style>
  <w:style w:type="paragraph" w:styleId="Heading4">
    <w:name w:val="heading 4"/>
    <w:basedOn w:val="Normal"/>
    <w:next w:val="Normal"/>
    <w:link w:val="Heading4Char"/>
    <w:uiPriority w:val="9"/>
    <w:semiHidden/>
    <w:unhideWhenUsed/>
    <w:qFormat/>
    <w:rsid w:val="009C595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val="en-AU"/>
      <w14:ligatures w14:val="standardContextual"/>
    </w:rPr>
  </w:style>
  <w:style w:type="paragraph" w:styleId="Heading5">
    <w:name w:val="heading 5"/>
    <w:basedOn w:val="Normal"/>
    <w:next w:val="Normal"/>
    <w:link w:val="Heading5Char"/>
    <w:uiPriority w:val="9"/>
    <w:semiHidden/>
    <w:unhideWhenUsed/>
    <w:qFormat/>
    <w:rsid w:val="009C595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val="en-AU"/>
      <w14:ligatures w14:val="standardContextual"/>
    </w:rPr>
  </w:style>
  <w:style w:type="paragraph" w:styleId="Heading6">
    <w:name w:val="heading 6"/>
    <w:basedOn w:val="Normal"/>
    <w:next w:val="Normal"/>
    <w:link w:val="Heading6Char"/>
    <w:uiPriority w:val="9"/>
    <w:semiHidden/>
    <w:unhideWhenUsed/>
    <w:qFormat/>
    <w:rsid w:val="009C595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val="en-AU"/>
      <w14:ligatures w14:val="standardContextual"/>
    </w:rPr>
  </w:style>
  <w:style w:type="paragraph" w:styleId="Heading7">
    <w:name w:val="heading 7"/>
    <w:basedOn w:val="Normal"/>
    <w:next w:val="Normal"/>
    <w:link w:val="Heading7Char"/>
    <w:uiPriority w:val="9"/>
    <w:semiHidden/>
    <w:unhideWhenUsed/>
    <w:qFormat/>
    <w:rsid w:val="009C595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val="en-AU"/>
      <w14:ligatures w14:val="standardContextual"/>
    </w:rPr>
  </w:style>
  <w:style w:type="paragraph" w:styleId="Heading8">
    <w:name w:val="heading 8"/>
    <w:basedOn w:val="Normal"/>
    <w:next w:val="Normal"/>
    <w:link w:val="Heading8Char"/>
    <w:uiPriority w:val="9"/>
    <w:semiHidden/>
    <w:unhideWhenUsed/>
    <w:qFormat/>
    <w:rsid w:val="009C595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val="en-AU"/>
      <w14:ligatures w14:val="standardContextual"/>
    </w:rPr>
  </w:style>
  <w:style w:type="paragraph" w:styleId="Heading9">
    <w:name w:val="heading 9"/>
    <w:basedOn w:val="Normal"/>
    <w:next w:val="Normal"/>
    <w:link w:val="Heading9Char"/>
    <w:uiPriority w:val="9"/>
    <w:semiHidden/>
    <w:unhideWhenUsed/>
    <w:qFormat/>
    <w:rsid w:val="009C5955"/>
    <w:pPr>
      <w:keepNext/>
      <w:keepLines/>
      <w:spacing w:line="259" w:lineRule="auto"/>
      <w:outlineLvl w:val="8"/>
    </w:pPr>
    <w:rPr>
      <w:rFonts w:asciiTheme="minorHAnsi" w:eastAsiaTheme="majorEastAsia" w:hAnsiTheme="minorHAnsi" w:cstheme="majorBidi"/>
      <w:color w:val="272727" w:themeColor="text1" w:themeTint="D8"/>
      <w:kern w:val="2"/>
      <w:sz w:val="22"/>
      <w:szCs w:val="22"/>
      <w:lang w:val="en-AU"/>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59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59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59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59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59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59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59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59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5955"/>
    <w:rPr>
      <w:rFonts w:eastAsiaTheme="majorEastAsia" w:cstheme="majorBidi"/>
      <w:color w:val="272727" w:themeColor="text1" w:themeTint="D8"/>
    </w:rPr>
  </w:style>
  <w:style w:type="paragraph" w:styleId="Title">
    <w:name w:val="Title"/>
    <w:basedOn w:val="Normal"/>
    <w:next w:val="Normal"/>
    <w:link w:val="TitleChar"/>
    <w:uiPriority w:val="10"/>
    <w:qFormat/>
    <w:rsid w:val="009C5955"/>
    <w:pPr>
      <w:spacing w:after="80" w:line="240" w:lineRule="auto"/>
      <w:contextualSpacing/>
    </w:pPr>
    <w:rPr>
      <w:rFonts w:asciiTheme="majorHAnsi" w:eastAsiaTheme="majorEastAsia" w:hAnsiTheme="majorHAnsi" w:cstheme="majorBidi"/>
      <w:spacing w:val="-10"/>
      <w:kern w:val="28"/>
      <w:sz w:val="56"/>
      <w:szCs w:val="56"/>
      <w:lang w:val="en-AU"/>
      <w14:ligatures w14:val="standardContextual"/>
    </w:rPr>
  </w:style>
  <w:style w:type="character" w:customStyle="1" w:styleId="TitleChar">
    <w:name w:val="Title Char"/>
    <w:basedOn w:val="DefaultParagraphFont"/>
    <w:link w:val="Title"/>
    <w:uiPriority w:val="10"/>
    <w:rsid w:val="009C59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595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AU"/>
      <w14:ligatures w14:val="standardContextual"/>
    </w:rPr>
  </w:style>
  <w:style w:type="character" w:customStyle="1" w:styleId="SubtitleChar">
    <w:name w:val="Subtitle Char"/>
    <w:basedOn w:val="DefaultParagraphFont"/>
    <w:link w:val="Subtitle"/>
    <w:uiPriority w:val="11"/>
    <w:rsid w:val="009C59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5955"/>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AU"/>
      <w14:ligatures w14:val="standardContextual"/>
    </w:rPr>
  </w:style>
  <w:style w:type="character" w:customStyle="1" w:styleId="QuoteChar">
    <w:name w:val="Quote Char"/>
    <w:basedOn w:val="DefaultParagraphFont"/>
    <w:link w:val="Quote"/>
    <w:uiPriority w:val="29"/>
    <w:rsid w:val="009C5955"/>
    <w:rPr>
      <w:i/>
      <w:iCs/>
      <w:color w:val="404040" w:themeColor="text1" w:themeTint="BF"/>
    </w:rPr>
  </w:style>
  <w:style w:type="paragraph" w:styleId="ListParagraph">
    <w:name w:val="List Paragraph"/>
    <w:basedOn w:val="Normal"/>
    <w:uiPriority w:val="34"/>
    <w:qFormat/>
    <w:rsid w:val="009C5955"/>
    <w:pPr>
      <w:spacing w:after="160" w:line="259" w:lineRule="auto"/>
      <w:ind w:left="720"/>
      <w:contextualSpacing/>
    </w:pPr>
    <w:rPr>
      <w:rFonts w:asciiTheme="minorHAnsi" w:eastAsiaTheme="minorHAnsi" w:hAnsiTheme="minorHAnsi" w:cstheme="minorBidi"/>
      <w:kern w:val="2"/>
      <w:sz w:val="22"/>
      <w:szCs w:val="22"/>
      <w:lang w:val="en-AU"/>
      <w14:ligatures w14:val="standardContextual"/>
    </w:rPr>
  </w:style>
  <w:style w:type="character" w:styleId="IntenseEmphasis">
    <w:name w:val="Intense Emphasis"/>
    <w:basedOn w:val="DefaultParagraphFont"/>
    <w:uiPriority w:val="21"/>
    <w:qFormat/>
    <w:rsid w:val="009C5955"/>
    <w:rPr>
      <w:i/>
      <w:iCs/>
      <w:color w:val="0F4761" w:themeColor="accent1" w:themeShade="BF"/>
    </w:rPr>
  </w:style>
  <w:style w:type="paragraph" w:styleId="IntenseQuote">
    <w:name w:val="Intense Quote"/>
    <w:basedOn w:val="Normal"/>
    <w:next w:val="Normal"/>
    <w:link w:val="IntenseQuoteChar"/>
    <w:uiPriority w:val="30"/>
    <w:qFormat/>
    <w:rsid w:val="009C595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val="en-AU"/>
      <w14:ligatures w14:val="standardContextual"/>
    </w:rPr>
  </w:style>
  <w:style w:type="character" w:customStyle="1" w:styleId="IntenseQuoteChar">
    <w:name w:val="Intense Quote Char"/>
    <w:basedOn w:val="DefaultParagraphFont"/>
    <w:link w:val="IntenseQuote"/>
    <w:uiPriority w:val="30"/>
    <w:rsid w:val="009C5955"/>
    <w:rPr>
      <w:i/>
      <w:iCs/>
      <w:color w:val="0F4761" w:themeColor="accent1" w:themeShade="BF"/>
    </w:rPr>
  </w:style>
  <w:style w:type="character" w:styleId="IntenseReference">
    <w:name w:val="Intense Reference"/>
    <w:basedOn w:val="DefaultParagraphFont"/>
    <w:uiPriority w:val="32"/>
    <w:qFormat/>
    <w:rsid w:val="009C5955"/>
    <w:rPr>
      <w:b/>
      <w:bCs/>
      <w:smallCaps/>
      <w:color w:val="0F4761" w:themeColor="accent1" w:themeShade="BF"/>
      <w:spacing w:val="5"/>
    </w:rPr>
  </w:style>
  <w:style w:type="paragraph" w:styleId="Bibliography">
    <w:name w:val="Bibliography"/>
    <w:basedOn w:val="Normal"/>
    <w:qFormat/>
    <w:rsid w:val="009C5955"/>
    <w:pPr>
      <w:spacing w:after="200" w:line="240" w:lineRule="auto"/>
    </w:pPr>
    <w:rPr>
      <w:rFonts w:asciiTheme="minorHAnsi" w:eastAsiaTheme="minorHAnsi" w:hAnsiTheme="minorHAnsi" w:cstheme="minorBidi"/>
      <w:lang w:val="en-US"/>
    </w:rPr>
  </w:style>
  <w:style w:type="table" w:styleId="GridTable1Light">
    <w:name w:val="Grid Table 1 Light"/>
    <w:basedOn w:val="TableNormal"/>
    <w:uiPriority w:val="46"/>
    <w:rsid w:val="009C5955"/>
    <w:pPr>
      <w:spacing w:after="0" w:line="240" w:lineRule="auto"/>
    </w:pPr>
    <w:rPr>
      <w:lang w:val="en-I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1696</Words>
  <Characters>10943</Characters>
  <Application>Microsoft Office Word</Application>
  <DocSecurity>0</DocSecurity>
  <Lines>575</Lines>
  <Paragraphs>101</Paragraphs>
  <ScaleCrop>false</ScaleCrop>
  <HeadingPairs>
    <vt:vector size="2" baseType="variant">
      <vt:variant>
        <vt:lpstr>Title</vt:lpstr>
      </vt:variant>
      <vt:variant>
        <vt:i4>1</vt:i4>
      </vt:variant>
    </vt:vector>
  </HeadingPairs>
  <TitlesOfParts>
    <vt:vector size="1" baseType="lpstr">
      <vt:lpstr/>
    </vt:vector>
  </TitlesOfParts>
  <Company>UTS</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Layla Edwards</dc:creator>
  <cp:keywords/>
  <dc:description/>
  <cp:lastModifiedBy>Layla Edwards</cp:lastModifiedBy>
  <cp:revision>2</cp:revision>
  <dcterms:created xsi:type="dcterms:W3CDTF">2026-10-01T22:00:00Z</dcterms:created>
  <dcterms:modified xsi:type="dcterms:W3CDTF">2026-10-01T22:17:00Z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2026-10-01T22:16:26Z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a92b6ab6-8c65-4094-81ac-eb9f1a1164c2</vt:lpwstr>
  </property>
  <property fmtid="{D5CDD505-2E9C-101B-9397-08002B2CF9AE}" pid="8" name="MSIP_Label_51a6c3db-1667-4f49-995a-8b9973972958_ContentBits">
    <vt:lpwstr>0</vt:lpwstr>
  </property>
  <property fmtid="{D5CDD505-2E9C-101B-9397-08002B2CF9AE}" pid="9" name="MSIP_Label_51a6c3db-1667-4f49-995a-8b9973972958_Tag">
    <vt:lpwstr>10, 3, 0, 1</vt:lpwstr>
  </property>
</Properties>
</file>